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EC18C" w14:textId="5E4E0138" w:rsidR="00316067" w:rsidRPr="004379C8" w:rsidRDefault="00316067" w:rsidP="00316067">
      <w:pPr>
        <w:pStyle w:val="Nagwek3"/>
      </w:pPr>
      <w:r w:rsidRPr="004379C8">
        <w:t xml:space="preserve">ZAŁĄCZNIK </w:t>
      </w:r>
      <w:r>
        <w:t>4.</w:t>
      </w:r>
      <w:r w:rsidRPr="004379C8">
        <w:t xml:space="preserve"> Dane wykorzystane do predykcji </w:t>
      </w:r>
    </w:p>
    <w:p w14:paraId="5A83EF4D" w14:textId="77777777" w:rsidR="00316067" w:rsidRPr="004379C8" w:rsidRDefault="00316067" w:rsidP="00316067">
      <w:pPr>
        <w:rPr>
          <w:rFonts w:ascii="Arial" w:hAnsi="Arial"/>
          <w:sz w:val="24"/>
        </w:rPr>
      </w:pPr>
      <w:r w:rsidRPr="004379C8">
        <w:rPr>
          <w:rFonts w:ascii="Arial" w:hAnsi="Arial"/>
          <w:sz w:val="24"/>
        </w:rPr>
        <w:t xml:space="preserve">Prognozy wydatków inwestycyjnych dokonano za pomocą modeli o formie funkcyjnej zadanej wzorem 1. Modelowanie pozwoliło uzyskać oszacowania dla współczynników, tj.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0</m:t>
            </m:r>
          </m:sub>
        </m:sSub>
      </m:oMath>
      <w:r w:rsidRPr="004379C8">
        <w:rPr>
          <w:rFonts w:ascii="Arial" w:hAnsi="Arial"/>
          <w:sz w:val="24"/>
        </w:rPr>
        <w:t xml:space="preserve">, 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 xml:space="preserve">, 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β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,…</m:t>
        </m:r>
      </m:oMath>
      <w:r w:rsidRPr="004379C8">
        <w:rPr>
          <w:rFonts w:ascii="Arial" w:hAnsi="Arial"/>
          <w:sz w:val="24"/>
        </w:rPr>
        <w:t>. W celu uzyskania oszacowań dla przyszłych wartości inwestycji należało dokonać predykcji wartości zmiennych objaśniających za lata 2019-2029.</w:t>
      </w:r>
    </w:p>
    <w:p w14:paraId="128035D7" w14:textId="77777777" w:rsidR="00316067" w:rsidRPr="004379C8" w:rsidRDefault="00316067" w:rsidP="00316067">
      <w:pPr>
        <w:rPr>
          <w:rFonts w:ascii="Arial" w:hAnsi="Arial"/>
          <w:sz w:val="24"/>
        </w:rPr>
      </w:pPr>
      <w:r w:rsidRPr="004379C8">
        <w:rPr>
          <w:rFonts w:ascii="Arial" w:hAnsi="Arial"/>
          <w:b/>
          <w:bCs/>
          <w:sz w:val="24"/>
        </w:rPr>
        <w:t xml:space="preserve">Wartość majątku </w:t>
      </w:r>
      <w:r w:rsidRPr="004379C8">
        <w:rPr>
          <w:rFonts w:ascii="Arial" w:hAnsi="Arial"/>
          <w:sz w:val="24"/>
        </w:rPr>
        <w:t>z ostatniego roku poprzedzającego okres – dla pierwszego okresu (2019-2021) przyjęto wartość z 2018 r., dla kolejnych, wartości majątku obliczano zgodnie z schematem podanym w wyjaśnieniach metodologicznych przy uwzględnieniu dokonanych już prognoz wydatków inwestycyjnych</w:t>
      </w:r>
    </w:p>
    <w:p w14:paraId="5B9E3CEA" w14:textId="77777777" w:rsidR="00316067" w:rsidRPr="004379C8" w:rsidRDefault="00316067" w:rsidP="00316067">
      <w:pPr>
        <w:rPr>
          <w:rFonts w:ascii="Arial" w:hAnsi="Arial"/>
          <w:sz w:val="24"/>
        </w:rPr>
      </w:pPr>
      <w:r w:rsidRPr="004379C8">
        <w:rPr>
          <w:rFonts w:ascii="Arial" w:hAnsi="Arial"/>
          <w:b/>
          <w:bCs/>
          <w:sz w:val="24"/>
        </w:rPr>
        <w:t>Średnioroczny dochód JST</w:t>
      </w:r>
      <w:r w:rsidRPr="004379C8">
        <w:rPr>
          <w:rFonts w:ascii="Arial" w:hAnsi="Arial"/>
          <w:sz w:val="24"/>
        </w:rPr>
        <w:t xml:space="preserve"> oszacowano za pomocą długookresowej prognozy Produktu Krajowego Brutto (OECD)</w:t>
      </w:r>
      <w:r w:rsidRPr="004379C8">
        <w:rPr>
          <w:sz w:val="24"/>
          <w:vertAlign w:val="superscript"/>
        </w:rPr>
        <w:footnoteReference w:id="1"/>
      </w:r>
      <w:r w:rsidRPr="004379C8">
        <w:rPr>
          <w:rFonts w:ascii="Arial" w:hAnsi="Arial"/>
          <w:sz w:val="24"/>
        </w:rPr>
        <w:t xml:space="preserve">. Przyjęto, że dochód każdej JST w latach 2019-2027 będzie stanowił część (prognozowanego) PKB równą części, którą w 2018 roku dochód tej jednostki stanowił w PKB Polski z 2018 r. Prognozowany dochód jednostki w okresie </w:t>
      </w:r>
      <m:oMath>
        <m:r>
          <w:rPr>
            <w:rFonts w:ascii="Cambria Math" w:hAnsi="Cambria Math"/>
            <w:sz w:val="24"/>
          </w:rPr>
          <m:t>t</m:t>
        </m:r>
      </m:oMath>
      <w:r w:rsidRPr="004379C8">
        <w:rPr>
          <w:rFonts w:ascii="Arial" w:hAnsi="Arial"/>
          <w:sz w:val="24"/>
        </w:rPr>
        <w:t xml:space="preserve"> oszacowano zgodnie ze wzorem:</w:t>
      </w:r>
    </w:p>
    <w:p w14:paraId="6093C59B" w14:textId="77777777" w:rsidR="00316067" w:rsidRPr="004379C8" w:rsidRDefault="00485182" w:rsidP="00316067">
      <w:pPr>
        <w:jc w:val="both"/>
        <w:rPr>
          <w:rFonts w:ascii="Arial" w:eastAsiaTheme="minorEastAsia" w:hAnsi="Arial" w:cs="Aria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</w:rPr>
              </m:ctrlPr>
            </m:sSubPr>
            <m:e>
              <m:r>
                <w:rPr>
                  <w:rFonts w:ascii="Cambria Math" w:hAnsi="Cambria Math" w:cs="Arial"/>
                </w:rPr>
                <m:t>I</m:t>
              </m:r>
            </m:e>
            <m:sub>
              <m:r>
                <w:rPr>
                  <w:rFonts w:ascii="Cambria Math" w:hAnsi="Cambria Math" w:cs="Arial"/>
                </w:rPr>
                <m:t>i,t</m:t>
              </m:r>
            </m:sub>
          </m:sSub>
          <m: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</w:rPr>
                    <m:t>I</m:t>
                  </m:r>
                  <m:ctrlPr>
                    <w:rPr>
                      <w:rFonts w:ascii="Cambria Math" w:hAnsi="Cambria Math" w:cs="Arial"/>
                      <w:i/>
                    </w:rPr>
                  </m:ctrlPr>
                </m:e>
                <m:sub>
                  <m:r>
                    <w:rPr>
                      <w:rFonts w:ascii="Cambria Math" w:eastAsiaTheme="minorEastAsia" w:hAnsi="Cambria Math" w:cs="Arial"/>
                    </w:rPr>
                    <m:t>i,2018</m:t>
                  </m:r>
                </m:sub>
              </m:sSub>
              <m:r>
                <w:rPr>
                  <w:rFonts w:ascii="Cambria Math" w:eastAsiaTheme="minorEastAsia" w:hAnsi="Cambria Math" w:cs="Arial"/>
                </w:rPr>
                <m:t>∙PK</m:t>
              </m:r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 w:cs="Arial"/>
                    </w:rPr>
                    <m:t>t</m:t>
                  </m:r>
                </m:sub>
              </m:sSub>
            </m:num>
            <m:den>
              <m:r>
                <w:rPr>
                  <w:rFonts w:ascii="Cambria Math" w:eastAsiaTheme="minorEastAsia" w:hAnsi="Cambria Math" w:cs="Arial"/>
                </w:rPr>
                <m:t>PK</m:t>
              </m:r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 w:cs="Arial"/>
                    </w:rPr>
                    <m:t>2018</m:t>
                  </m:r>
                </m:sub>
              </m:sSub>
            </m:den>
          </m:f>
        </m:oMath>
      </m:oMathPara>
    </w:p>
    <w:p w14:paraId="2010BB07" w14:textId="77777777" w:rsidR="00316067" w:rsidRPr="004379C8" w:rsidRDefault="00316067" w:rsidP="00316067">
      <w:pPr>
        <w:jc w:val="both"/>
        <w:rPr>
          <w:rFonts w:ascii="Arial" w:eastAsiaTheme="minorEastAsia" w:hAnsi="Arial" w:cs="Arial"/>
        </w:rPr>
      </w:pPr>
      <w:r w:rsidRPr="004379C8">
        <w:rPr>
          <w:rFonts w:ascii="Arial" w:eastAsiaTheme="minorEastAsia" w:hAnsi="Arial" w:cs="Arial"/>
        </w:rPr>
        <w:t>gdzie:</w:t>
      </w:r>
    </w:p>
    <w:p w14:paraId="3CE3CEB7" w14:textId="77777777" w:rsidR="00316067" w:rsidRPr="004379C8" w:rsidRDefault="00485182" w:rsidP="00316067">
      <w:pPr>
        <w:jc w:val="both"/>
        <w:rPr>
          <w:rFonts w:ascii="Arial" w:eastAsiaTheme="minorEastAsia" w:hAnsi="Arial" w:cs="Arial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I</m:t>
            </m:r>
          </m:e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i,t</m:t>
            </m:r>
          </m:sub>
        </m:sSub>
      </m:oMath>
      <w:r w:rsidR="00316067" w:rsidRPr="004379C8">
        <w:rPr>
          <w:rFonts w:ascii="Arial" w:eastAsiaTheme="minorEastAsia" w:hAnsi="Arial" w:cs="Arial"/>
          <w:sz w:val="24"/>
          <w:szCs w:val="24"/>
        </w:rPr>
        <w:t>-</w:t>
      </w:r>
      <w:r w:rsidR="00316067" w:rsidRPr="004379C8">
        <w:rPr>
          <w:rFonts w:ascii="Arial" w:eastAsiaTheme="minorEastAsia" w:hAnsi="Arial" w:cs="Arial"/>
          <w:sz w:val="24"/>
          <w:szCs w:val="24"/>
        </w:rPr>
        <w:tab/>
        <w:t xml:space="preserve">dochód jednostki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i</m:t>
        </m:r>
      </m:oMath>
      <w:r w:rsidR="00316067" w:rsidRPr="004379C8">
        <w:rPr>
          <w:rFonts w:ascii="Arial" w:eastAsiaTheme="minorEastAsia" w:hAnsi="Arial" w:cs="Arial"/>
          <w:sz w:val="24"/>
          <w:szCs w:val="24"/>
        </w:rPr>
        <w:t xml:space="preserve"> w roku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t</m:t>
        </m:r>
      </m:oMath>
      <w:r w:rsidR="00316067" w:rsidRPr="004379C8">
        <w:rPr>
          <w:rFonts w:ascii="Arial" w:eastAsiaTheme="minorEastAsia" w:hAnsi="Arial" w:cs="Arial"/>
          <w:sz w:val="24"/>
          <w:szCs w:val="24"/>
        </w:rPr>
        <w:t xml:space="preserve"> (prognozowany lub z 2018 r.)</w:t>
      </w:r>
    </w:p>
    <w:p w14:paraId="0A7E0DC9" w14:textId="77777777" w:rsidR="00316067" w:rsidRPr="004379C8" w:rsidRDefault="00316067" w:rsidP="00316067">
      <w:pPr>
        <w:jc w:val="both"/>
        <w:rPr>
          <w:rFonts w:ascii="Arial" w:eastAsiaTheme="minorEastAsia" w:hAnsi="Arial" w:cs="Arial"/>
          <w:sz w:val="24"/>
          <w:szCs w:val="24"/>
        </w:rPr>
      </w:pPr>
      <m:oMath>
        <m:r>
          <w:rPr>
            <w:rFonts w:ascii="Cambria Math" w:eastAsiaTheme="minorEastAsia" w:hAnsi="Cambria Math" w:cs="Arial"/>
            <w:sz w:val="24"/>
            <w:szCs w:val="24"/>
          </w:rPr>
          <m:t>PK</m:t>
        </m:r>
        <m:sSub>
          <m:sSub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B</m:t>
            </m:r>
          </m:e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t</m:t>
            </m:r>
          </m:sub>
        </m:sSub>
      </m:oMath>
      <w:r w:rsidRPr="004379C8">
        <w:rPr>
          <w:rFonts w:ascii="Arial" w:eastAsiaTheme="minorEastAsia" w:hAnsi="Arial" w:cs="Arial"/>
          <w:sz w:val="24"/>
          <w:szCs w:val="24"/>
        </w:rPr>
        <w:tab/>
        <w:t xml:space="preserve">-PKB Polski w roku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t</m:t>
        </m:r>
      </m:oMath>
      <w:r w:rsidRPr="004379C8">
        <w:rPr>
          <w:rFonts w:ascii="Arial" w:eastAsiaTheme="minorEastAsia" w:hAnsi="Arial" w:cs="Arial"/>
          <w:sz w:val="24"/>
          <w:szCs w:val="24"/>
        </w:rPr>
        <w:t xml:space="preserve"> (prognozowany lub z 2018 r.)</w:t>
      </w:r>
    </w:p>
    <w:p w14:paraId="20E3A08D" w14:textId="77777777" w:rsidR="00316067" w:rsidRPr="004379C8" w:rsidRDefault="00316067" w:rsidP="00316067">
      <w:pPr>
        <w:jc w:val="both"/>
        <w:rPr>
          <w:rFonts w:ascii="Arial" w:hAnsi="Arial"/>
          <w:sz w:val="24"/>
        </w:rPr>
      </w:pPr>
      <w:r w:rsidRPr="004379C8">
        <w:rPr>
          <w:rFonts w:ascii="Arial" w:hAnsi="Arial"/>
          <w:sz w:val="24"/>
        </w:rPr>
        <w:t>Na wykresie Z1 przedstawiono prognozowany przyrost dochodów per capita w podziale na typy jednostek samorządu terytorialnego.</w:t>
      </w:r>
    </w:p>
    <w:p w14:paraId="57931478" w14:textId="77777777" w:rsidR="00316067" w:rsidRPr="004379C8" w:rsidRDefault="00316067" w:rsidP="00316067">
      <w:pPr>
        <w:pStyle w:val="Legenda"/>
        <w:spacing w:before="160" w:after="0"/>
        <w:rPr>
          <w:i w:val="0"/>
          <w:iCs w:val="0"/>
          <w:color w:val="auto"/>
          <w:szCs w:val="24"/>
        </w:rPr>
      </w:pPr>
      <w:r w:rsidRPr="004379C8">
        <w:rPr>
          <w:i w:val="0"/>
          <w:iCs w:val="0"/>
          <w:color w:val="auto"/>
          <w:szCs w:val="24"/>
        </w:rPr>
        <w:t>Wykres Z</w:t>
      </w:r>
      <w:r w:rsidRPr="004379C8">
        <w:rPr>
          <w:i w:val="0"/>
          <w:iCs w:val="0"/>
          <w:color w:val="auto"/>
          <w:szCs w:val="24"/>
        </w:rPr>
        <w:fldChar w:fldCharType="begin"/>
      </w:r>
      <w:r w:rsidRPr="004379C8">
        <w:rPr>
          <w:i w:val="0"/>
          <w:iCs w:val="0"/>
          <w:color w:val="auto"/>
          <w:szCs w:val="24"/>
        </w:rPr>
        <w:instrText xml:space="preserve"> SEQ Wykres \* ARABIC </w:instrText>
      </w:r>
      <w:r w:rsidRPr="004379C8">
        <w:rPr>
          <w:i w:val="0"/>
          <w:iCs w:val="0"/>
          <w:color w:val="auto"/>
          <w:szCs w:val="24"/>
        </w:rPr>
        <w:fldChar w:fldCharType="separate"/>
      </w:r>
      <w:r w:rsidR="00973CB1">
        <w:rPr>
          <w:i w:val="0"/>
          <w:iCs w:val="0"/>
          <w:noProof/>
          <w:color w:val="auto"/>
          <w:szCs w:val="24"/>
        </w:rPr>
        <w:t>1</w:t>
      </w:r>
      <w:r w:rsidRPr="004379C8">
        <w:rPr>
          <w:i w:val="0"/>
          <w:iCs w:val="0"/>
          <w:color w:val="auto"/>
          <w:szCs w:val="24"/>
        </w:rPr>
        <w:fldChar w:fldCharType="end"/>
      </w:r>
      <w:r w:rsidRPr="004379C8">
        <w:rPr>
          <w:i w:val="0"/>
          <w:iCs w:val="0"/>
          <w:color w:val="auto"/>
          <w:szCs w:val="24"/>
        </w:rPr>
        <w:t xml:space="preserve">  Prognozowany dochód per capita województw, powiatów bez miast na prawach powiatów, miast na prawach powiatu i gmin w latach 2019-2030</w:t>
      </w:r>
    </w:p>
    <w:p w14:paraId="408511DE" w14:textId="77777777" w:rsidR="00316067" w:rsidRPr="004379C8" w:rsidRDefault="00316067" w:rsidP="00316067">
      <w:pPr>
        <w:jc w:val="both"/>
        <w:rPr>
          <w:rFonts w:ascii="Arial" w:eastAsiaTheme="minorEastAsia" w:hAnsi="Arial" w:cs="Arial"/>
        </w:rPr>
      </w:pPr>
      <w:r w:rsidRPr="004379C8">
        <w:rPr>
          <w:rFonts w:ascii="Arial" w:eastAsiaTheme="minorEastAsia" w:hAnsi="Arial" w:cs="Arial"/>
          <w:noProof/>
          <w:lang w:eastAsia="pl-PL"/>
        </w:rPr>
        <w:drawing>
          <wp:inline distT="0" distB="0" distL="0" distR="0" wp14:anchorId="3E2343A2" wp14:editId="69E675D1">
            <wp:extent cx="4965826" cy="2482915"/>
            <wp:effectExtent l="0" t="0" r="6350" b="0"/>
            <wp:docPr id="23" name="Obraz 23" descr="Wykres liniowny. Na osi pionowej jest dochód JST per capita. Na osi poziomej lata od 2019-2029. Wykres pokazuje wzrost prognozowanego dochodu dla wszystkich typów JST. Największy dla gmin i mnp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ochod_pc.tif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8567" cy="2509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0B360F" w14:textId="77777777" w:rsidR="00316067" w:rsidRPr="004379C8" w:rsidRDefault="00316067" w:rsidP="00316067">
      <w:pPr>
        <w:spacing w:after="240" w:line="240" w:lineRule="auto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4379C8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Źródło: opracowanie własne</w:t>
      </w:r>
    </w:p>
    <w:p w14:paraId="6525B111" w14:textId="77777777" w:rsidR="00316067" w:rsidRPr="004379C8" w:rsidRDefault="00316067" w:rsidP="00316067">
      <w:pPr>
        <w:rPr>
          <w:rFonts w:ascii="Arial" w:hAnsi="Arial"/>
          <w:sz w:val="24"/>
        </w:rPr>
      </w:pPr>
      <w:r w:rsidRPr="004379C8">
        <w:rPr>
          <w:rFonts w:ascii="Arial" w:hAnsi="Arial"/>
          <w:b/>
          <w:bCs/>
          <w:sz w:val="24"/>
        </w:rPr>
        <w:lastRenderedPageBreak/>
        <w:t>Wartość wskaźnika nadwyżki</w:t>
      </w:r>
      <w:r w:rsidRPr="004379C8">
        <w:rPr>
          <w:rFonts w:ascii="Arial" w:hAnsi="Arial"/>
          <w:sz w:val="24"/>
        </w:rPr>
        <w:t xml:space="preserve"> oszacowano przy założeniu, że wartości wskaźników nadwyżek dla gmin, mnpp, powiatów i województw (osobne modele) będą podążać tym samym trendem co dotychczas. Skonstruowano pomocnicze modele:</w:t>
      </w:r>
    </w:p>
    <w:p w14:paraId="7206CE49" w14:textId="77777777" w:rsidR="00316067" w:rsidRPr="004379C8" w:rsidRDefault="00316067" w:rsidP="00316067">
      <w:pPr>
        <w:jc w:val="both"/>
        <w:rPr>
          <w:rFonts w:ascii="Arial" w:eastAsiaTheme="minorEastAsia" w:hAnsi="Arial" w:cs="Arial"/>
        </w:rPr>
      </w:pPr>
      <m:oMathPara>
        <m:oMath>
          <m:r>
            <w:rPr>
              <w:rFonts w:ascii="Cambria Math" w:eastAsiaTheme="minorEastAsia" w:hAnsi="Cambria Math" w:cs="Arial"/>
            </w:rPr>
            <m:t>wsk_n</m:t>
          </m:r>
          <m:sSub>
            <m:sSubPr>
              <m:ctrlPr>
                <w:rPr>
                  <w:rFonts w:ascii="Cambria Math" w:eastAsiaTheme="minorEastAsia" w:hAnsi="Cambria Math" w:cs="Arial"/>
                  <w:i/>
                </w:rPr>
              </m:ctrlPr>
            </m:sSubPr>
            <m:e>
              <m:r>
                <w:rPr>
                  <w:rFonts w:ascii="Cambria Math" w:eastAsiaTheme="minorEastAsia" w:hAnsi="Cambria Math" w:cs="Arial"/>
                </w:rPr>
                <m:t>ad</m:t>
              </m:r>
            </m:e>
            <m:sub>
              <m:r>
                <w:rPr>
                  <w:rFonts w:ascii="Cambria Math" w:eastAsiaTheme="minorEastAsia" w:hAnsi="Cambria Math" w:cs="Arial"/>
                </w:rPr>
                <m:t>it</m:t>
              </m:r>
            </m:sub>
          </m:sSub>
          <m:r>
            <w:rPr>
              <w:rFonts w:ascii="Cambria Math" w:eastAsiaTheme="minorEastAsia" w:hAnsi="Cambria Math" w:cs="Arial"/>
            </w:rPr>
            <m:t>=</m:t>
          </m:r>
          <m:sSub>
            <m:sSubPr>
              <m:ctrlPr>
                <w:rPr>
                  <w:rFonts w:ascii="Cambria Math" w:eastAsiaTheme="minorEastAsia" w:hAnsi="Cambria Math" w:cs="Arial"/>
                  <w:i/>
                </w:rPr>
              </m:ctrlPr>
            </m:sSubPr>
            <m:e>
              <m:r>
                <w:rPr>
                  <w:rFonts w:ascii="Cambria Math" w:eastAsiaTheme="minorEastAsia" w:hAnsi="Cambria Math" w:cs="Arial"/>
                </w:rPr>
                <m:t>γ</m:t>
              </m:r>
            </m:e>
            <m:sub>
              <m:r>
                <w:rPr>
                  <w:rFonts w:ascii="Cambria Math" w:eastAsiaTheme="minorEastAsia" w:hAnsi="Cambria Math" w:cs="Arial"/>
                </w:rPr>
                <m:t>0</m:t>
              </m:r>
            </m:sub>
          </m:sSub>
          <m:r>
            <w:rPr>
              <w:rFonts w:ascii="Cambria Math" w:eastAsiaTheme="minorEastAsia" w:hAnsi="Cambria Math" w:cs="Arial"/>
            </w:rPr>
            <m:t>+</m:t>
          </m:r>
          <m:sSub>
            <m:sSubPr>
              <m:ctrlPr>
                <w:rPr>
                  <w:rFonts w:ascii="Cambria Math" w:eastAsiaTheme="minorEastAsia" w:hAnsi="Cambria Math" w:cs="Arial"/>
                  <w:i/>
                </w:rPr>
              </m:ctrlPr>
            </m:sSubPr>
            <m:e>
              <m:r>
                <w:rPr>
                  <w:rFonts w:ascii="Cambria Math" w:eastAsiaTheme="minorEastAsia" w:hAnsi="Cambria Math" w:cs="Arial"/>
                </w:rPr>
                <m:t>γ</m:t>
              </m:r>
            </m:e>
            <m:sub>
              <m:r>
                <w:rPr>
                  <w:rFonts w:ascii="Cambria Math" w:eastAsiaTheme="minorEastAsia" w:hAnsi="Cambria Math" w:cs="Arial"/>
                </w:rPr>
                <m:t>1</m:t>
              </m:r>
            </m:sub>
          </m:sSub>
          <m:r>
            <w:rPr>
              <w:rFonts w:ascii="Cambria Math" w:eastAsiaTheme="minorEastAsia" w:hAnsi="Cambria Math" w:cs="Arial"/>
            </w:rPr>
            <m:t>t+</m:t>
          </m:r>
          <m:sSub>
            <m:sSubPr>
              <m:ctrlPr>
                <w:rPr>
                  <w:rFonts w:ascii="Cambria Math" w:eastAsiaTheme="minorEastAsia" w:hAnsi="Cambria Math" w:cs="Arial"/>
                  <w:i/>
                </w:rPr>
              </m:ctrlPr>
            </m:sSubPr>
            <m:e>
              <m:r>
                <w:rPr>
                  <w:rFonts w:ascii="Cambria Math" w:eastAsiaTheme="minorEastAsia" w:hAnsi="Cambria Math" w:cs="Arial"/>
                </w:rPr>
                <m:t>γ</m:t>
              </m:r>
            </m:e>
            <m:sub>
              <m:r>
                <w:rPr>
                  <w:rFonts w:ascii="Cambria Math" w:eastAsiaTheme="minorEastAsia" w:hAnsi="Cambria Math" w:cs="Arial"/>
                </w:rPr>
                <m:t>2</m:t>
              </m:r>
            </m:sub>
          </m:sSub>
          <m:r>
            <w:rPr>
              <w:rFonts w:ascii="Cambria Math" w:eastAsiaTheme="minorEastAsia" w:hAnsi="Cambria Math" w:cs="Arial"/>
            </w:rPr>
            <m:t>i+</m:t>
          </m:r>
          <m:sSub>
            <m:sSubPr>
              <m:ctrlPr>
                <w:rPr>
                  <w:rFonts w:ascii="Cambria Math" w:eastAsiaTheme="minorEastAsia" w:hAnsi="Cambria Math" w:cs="Arial"/>
                  <w:i/>
                </w:rPr>
              </m:ctrlPr>
            </m:sSubPr>
            <m:e>
              <m:r>
                <w:rPr>
                  <w:rFonts w:ascii="Cambria Math" w:eastAsiaTheme="minorEastAsia" w:hAnsi="Cambria Math" w:cs="Arial"/>
                </w:rPr>
                <m:t>ε</m:t>
              </m:r>
            </m:e>
            <m:sub>
              <m:r>
                <w:rPr>
                  <w:rFonts w:ascii="Cambria Math" w:eastAsiaTheme="minorEastAsia" w:hAnsi="Cambria Math" w:cs="Arial"/>
                </w:rPr>
                <m:t>it</m:t>
              </m:r>
            </m:sub>
          </m:sSub>
        </m:oMath>
      </m:oMathPara>
    </w:p>
    <w:p w14:paraId="0A24C30E" w14:textId="77777777" w:rsidR="00316067" w:rsidRPr="004379C8" w:rsidRDefault="00316067" w:rsidP="00316067">
      <w:pPr>
        <w:rPr>
          <w:rFonts w:ascii="Arial" w:hAnsi="Arial"/>
          <w:sz w:val="24"/>
        </w:rPr>
      </w:pPr>
      <w:r w:rsidRPr="004379C8">
        <w:rPr>
          <w:rFonts w:ascii="Arial" w:hAnsi="Arial"/>
          <w:sz w:val="24"/>
        </w:rPr>
        <w:t xml:space="preserve">Gdzie t oznacza rok, i jest wektorem efektów indywidualnych, które posłużyły do prognozy nadwyżek na lata 2019-2029, γ są poszukiwanymi współczynnikami, ɛ to błąd. </w:t>
      </w:r>
    </w:p>
    <w:p w14:paraId="3F5B9F5E" w14:textId="77777777" w:rsidR="00316067" w:rsidRPr="004379C8" w:rsidRDefault="00316067" w:rsidP="00316067">
      <w:pPr>
        <w:rPr>
          <w:rFonts w:ascii="Arial" w:hAnsi="Arial"/>
          <w:sz w:val="24"/>
        </w:rPr>
      </w:pPr>
      <w:r w:rsidRPr="004379C8">
        <w:rPr>
          <w:rFonts w:ascii="Arial" w:hAnsi="Arial"/>
          <w:sz w:val="24"/>
        </w:rPr>
        <w:t>Średnie wartości prognozowanych nadwyżek na lata 2019-2030 na poziomach województw, powiatów nie będących miastami na prawach powiatu, miast na prawach powiatu i gmin przedstawiono na wykresie Z2.</w:t>
      </w:r>
    </w:p>
    <w:p w14:paraId="38FDA43A" w14:textId="77777777" w:rsidR="00316067" w:rsidRPr="004379C8" w:rsidRDefault="00316067" w:rsidP="00316067">
      <w:pPr>
        <w:pStyle w:val="Legenda"/>
        <w:spacing w:before="160" w:after="0"/>
        <w:rPr>
          <w:i w:val="0"/>
          <w:iCs w:val="0"/>
          <w:color w:val="auto"/>
          <w:szCs w:val="24"/>
        </w:rPr>
      </w:pPr>
      <w:r w:rsidRPr="004379C8">
        <w:rPr>
          <w:i w:val="0"/>
          <w:iCs w:val="0"/>
          <w:color w:val="auto"/>
          <w:szCs w:val="24"/>
        </w:rPr>
        <w:t>Wykres Z</w:t>
      </w:r>
      <w:r w:rsidRPr="004379C8">
        <w:rPr>
          <w:i w:val="0"/>
          <w:iCs w:val="0"/>
          <w:color w:val="auto"/>
          <w:szCs w:val="24"/>
        </w:rPr>
        <w:fldChar w:fldCharType="begin"/>
      </w:r>
      <w:r w:rsidRPr="004379C8">
        <w:rPr>
          <w:i w:val="0"/>
          <w:iCs w:val="0"/>
          <w:color w:val="auto"/>
          <w:szCs w:val="24"/>
        </w:rPr>
        <w:instrText xml:space="preserve"> SEQ Wykres \* ARABIC </w:instrText>
      </w:r>
      <w:r w:rsidRPr="004379C8">
        <w:rPr>
          <w:i w:val="0"/>
          <w:iCs w:val="0"/>
          <w:color w:val="auto"/>
          <w:szCs w:val="24"/>
        </w:rPr>
        <w:fldChar w:fldCharType="separate"/>
      </w:r>
      <w:r w:rsidR="00973CB1">
        <w:rPr>
          <w:i w:val="0"/>
          <w:iCs w:val="0"/>
          <w:noProof/>
          <w:color w:val="auto"/>
          <w:szCs w:val="24"/>
        </w:rPr>
        <w:t>2</w:t>
      </w:r>
      <w:r w:rsidRPr="004379C8">
        <w:rPr>
          <w:i w:val="0"/>
          <w:iCs w:val="0"/>
          <w:color w:val="auto"/>
          <w:szCs w:val="24"/>
        </w:rPr>
        <w:fldChar w:fldCharType="end"/>
      </w:r>
      <w:r w:rsidRPr="004379C8">
        <w:rPr>
          <w:i w:val="0"/>
          <w:iCs w:val="0"/>
          <w:color w:val="auto"/>
          <w:szCs w:val="24"/>
        </w:rPr>
        <w:t>: Prognozowana, średnia nadwyżka bieżąca na poziomie województw, powiatów bez miast na prawach powiatów, miast na prawach powiatu i gmin w latach 2019-2030</w:t>
      </w:r>
    </w:p>
    <w:p w14:paraId="75921F0E" w14:textId="77777777" w:rsidR="00316067" w:rsidRPr="004379C8" w:rsidRDefault="00316067" w:rsidP="00316067">
      <w:pPr>
        <w:jc w:val="both"/>
        <w:rPr>
          <w:rFonts w:ascii="Arial" w:eastAsiaTheme="minorEastAsia" w:hAnsi="Arial" w:cs="Arial"/>
        </w:rPr>
      </w:pPr>
      <w:r w:rsidRPr="004379C8">
        <w:rPr>
          <w:rFonts w:ascii="Arial" w:eastAsiaTheme="minorEastAsia" w:hAnsi="Arial" w:cs="Arial"/>
          <w:noProof/>
          <w:lang w:eastAsia="pl-PL"/>
        </w:rPr>
        <w:drawing>
          <wp:inline distT="0" distB="0" distL="0" distR="0" wp14:anchorId="4942B635" wp14:editId="1F54DC95">
            <wp:extent cx="4088353" cy="2462542"/>
            <wp:effectExtent l="0" t="0" r="7620" b="0"/>
            <wp:docPr id="29" name="Obraz 29" descr="Wykres liniowy. Na osi pionowej przedstawiona jest wartość średniego wskaźnika nadwyżki bieżącej dla JST. Na osi poziomej kolejne lata od 2019-2029. Wykres pokazuje spadek tego wskaźnika dla wszystkich JST poza powiatami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ochod_pc.tif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2248" cy="2470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79C8">
        <w:rPr>
          <w:rFonts w:ascii="Arial" w:eastAsiaTheme="minorEastAsia" w:hAnsi="Arial" w:cs="Arial"/>
        </w:rPr>
        <w:br/>
      </w:r>
      <w:r w:rsidRPr="004379C8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Źródło: opracowanie własne</w:t>
      </w:r>
    </w:p>
    <w:p w14:paraId="01BE6210" w14:textId="77777777" w:rsidR="00316067" w:rsidRPr="004379C8" w:rsidRDefault="00316067" w:rsidP="00316067">
      <w:pPr>
        <w:rPr>
          <w:rFonts w:ascii="Arial" w:hAnsi="Arial"/>
          <w:sz w:val="24"/>
        </w:rPr>
      </w:pPr>
      <w:r w:rsidRPr="004379C8">
        <w:rPr>
          <w:rFonts w:ascii="Arial" w:hAnsi="Arial"/>
          <w:b/>
          <w:bCs/>
          <w:sz w:val="24"/>
        </w:rPr>
        <w:t>Udział populacji</w:t>
      </w:r>
      <w:r w:rsidRPr="004379C8">
        <w:rPr>
          <w:rFonts w:ascii="Arial" w:hAnsi="Arial"/>
          <w:sz w:val="24"/>
        </w:rPr>
        <w:t xml:space="preserve"> w wieku przedprodukcyjnym, produkcyjnym i poprodukcyjnym pozyskano z prognoz demograficznych GUS (eksperymentalna prognoza dla gmin - GUS</w:t>
      </w:r>
      <w:r w:rsidRPr="004379C8">
        <w:rPr>
          <w:sz w:val="24"/>
          <w:vertAlign w:val="superscript"/>
        </w:rPr>
        <w:footnoteReference w:id="2"/>
      </w:r>
      <w:r w:rsidRPr="004379C8">
        <w:rPr>
          <w:rFonts w:ascii="Arial" w:hAnsi="Arial"/>
          <w:sz w:val="24"/>
        </w:rPr>
        <w:t>).</w:t>
      </w:r>
    </w:p>
    <w:p w14:paraId="7FC4AA98" w14:textId="77777777" w:rsidR="00316067" w:rsidRPr="004379C8" w:rsidRDefault="00316067" w:rsidP="00316067">
      <w:pPr>
        <w:rPr>
          <w:rFonts w:ascii="Arial" w:hAnsi="Arial"/>
          <w:sz w:val="24"/>
        </w:rPr>
      </w:pPr>
      <w:r w:rsidRPr="004379C8">
        <w:rPr>
          <w:rFonts w:ascii="Arial" w:hAnsi="Arial"/>
          <w:sz w:val="24"/>
        </w:rPr>
        <w:t xml:space="preserve"> Należy zaznaczyć, że prawdopodobnie lepsze dopasowania w modelach można by uzyskać poprzez wykorzystanie „mniejszych” grup wiekowych. Takie oszacowania można uzyskać z wcześniejszych prognoz demograficznych GUS opartych na danych z 2011 roku, jednak nie można ich uzyskać z cytowanej prognozy eksperymentalnej. Uznaliśmy, że w czasie dynamicznych ruchów migracyjnych z i do Polski oraz zmian we współczynnikach dzietności konieczne jest korzystanie z jak najnowszych prognoz, nawet kosztem gorszego dopasowania modeli estymowanych na danych zastanych. Na wykresie Z3 przedstawiono prognozowany przez GUS udział ludności w wieku przedprodukcyjnym, produkcyjnym i poprodukcyjnym w latach 2019-2030.</w:t>
      </w:r>
    </w:p>
    <w:p w14:paraId="36D17E8F" w14:textId="77777777" w:rsidR="00316067" w:rsidRPr="004379C8" w:rsidRDefault="00316067" w:rsidP="00316067">
      <w:pPr>
        <w:pStyle w:val="Legenda"/>
        <w:spacing w:before="160" w:after="0"/>
        <w:rPr>
          <w:i w:val="0"/>
          <w:iCs w:val="0"/>
          <w:color w:val="auto"/>
          <w:szCs w:val="24"/>
        </w:rPr>
      </w:pPr>
      <w:r w:rsidRPr="004379C8">
        <w:rPr>
          <w:i w:val="0"/>
          <w:iCs w:val="0"/>
          <w:color w:val="auto"/>
          <w:szCs w:val="24"/>
        </w:rPr>
        <w:t>Wykres Z</w:t>
      </w:r>
      <w:r w:rsidRPr="004379C8">
        <w:rPr>
          <w:i w:val="0"/>
          <w:iCs w:val="0"/>
          <w:color w:val="auto"/>
          <w:szCs w:val="24"/>
        </w:rPr>
        <w:fldChar w:fldCharType="begin"/>
      </w:r>
      <w:r w:rsidRPr="004379C8">
        <w:rPr>
          <w:i w:val="0"/>
          <w:iCs w:val="0"/>
          <w:color w:val="auto"/>
          <w:szCs w:val="24"/>
        </w:rPr>
        <w:instrText xml:space="preserve"> SEQ Wykres \* ARABIC </w:instrText>
      </w:r>
      <w:r w:rsidRPr="004379C8">
        <w:rPr>
          <w:i w:val="0"/>
          <w:iCs w:val="0"/>
          <w:color w:val="auto"/>
          <w:szCs w:val="24"/>
        </w:rPr>
        <w:fldChar w:fldCharType="separate"/>
      </w:r>
      <w:r w:rsidR="00973CB1">
        <w:rPr>
          <w:i w:val="0"/>
          <w:iCs w:val="0"/>
          <w:noProof/>
          <w:color w:val="auto"/>
          <w:szCs w:val="24"/>
        </w:rPr>
        <w:t>3</w:t>
      </w:r>
      <w:r w:rsidRPr="004379C8">
        <w:rPr>
          <w:i w:val="0"/>
          <w:iCs w:val="0"/>
          <w:color w:val="auto"/>
          <w:szCs w:val="24"/>
        </w:rPr>
        <w:fldChar w:fldCharType="end"/>
      </w:r>
      <w:r w:rsidRPr="004379C8">
        <w:rPr>
          <w:i w:val="0"/>
          <w:iCs w:val="0"/>
          <w:color w:val="auto"/>
          <w:szCs w:val="24"/>
        </w:rPr>
        <w:t xml:space="preserve"> Udział populacji w wieku produkcyjnym, przedprodukcyjnym i poprodukcyjnym w całkowitej populacji Polski (w proc.) w latach 2019-2030</w:t>
      </w:r>
    </w:p>
    <w:p w14:paraId="1DF10FBD" w14:textId="77777777" w:rsidR="00316067" w:rsidRPr="009B35C1" w:rsidRDefault="00316067" w:rsidP="00316067">
      <w:pPr>
        <w:jc w:val="both"/>
        <w:rPr>
          <w:rFonts w:cstheme="minorHAnsi"/>
        </w:rPr>
      </w:pPr>
      <w:r w:rsidRPr="004379C8">
        <w:rPr>
          <w:rFonts w:ascii="Arial" w:hAnsi="Arial" w:cs="Arial"/>
          <w:noProof/>
          <w:lang w:eastAsia="pl-PL"/>
        </w:rPr>
        <w:drawing>
          <wp:inline distT="0" distB="0" distL="0" distR="0" wp14:anchorId="159F04FE" wp14:editId="108F34FB">
            <wp:extent cx="5072743" cy="2536372"/>
            <wp:effectExtent l="0" t="0" r="0" b="0"/>
            <wp:docPr id="30" name="Obraz 30" descr="Wykres liniowy, pokazuje na osi pionowej udział populacji w wieku przedprodukcyjnym, produkcyjnym i poprodukcyjnym w całkowitej populacji Polski. Na osi poziomej są kolejne lata od 2019-2029. Wykres pokazuje spadek udziału grup produkcyjnej i przedprodukcyjnej i wzrost udziału poprodukcyjnej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mo.tif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5393" cy="2537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79C8">
        <w:rPr>
          <w:rFonts w:ascii="Arial" w:hAnsi="Arial" w:cs="Arial"/>
        </w:rPr>
        <w:br/>
      </w:r>
      <w:r w:rsidRPr="004379C8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źródło: opracowanie własne na podstawie eksperymentalnej prognozy GUS</w:t>
      </w:r>
      <w:r w:rsidRPr="004379C8">
        <w:rPr>
          <w:rStyle w:val="Odwoanieprzypisudolnego"/>
          <w:rFonts w:cstheme="minorHAnsi"/>
        </w:rPr>
        <w:footnoteReference w:id="3"/>
      </w:r>
    </w:p>
    <w:p w14:paraId="43F58CB1" w14:textId="77777777" w:rsidR="00316067" w:rsidRDefault="00316067" w:rsidP="00316067">
      <w:pPr>
        <w:jc w:val="both"/>
        <w:rPr>
          <w:rFonts w:ascii="Arial" w:hAnsi="Arial"/>
          <w:sz w:val="24"/>
        </w:rPr>
      </w:pPr>
    </w:p>
    <w:p w14:paraId="75FC48B3" w14:textId="11681A8B" w:rsidR="007F2916" w:rsidRPr="00316067" w:rsidRDefault="007F2916" w:rsidP="00316067"/>
    <w:sectPr w:rsidR="007F2916" w:rsidRPr="0031606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A7212D" w14:textId="77777777" w:rsidR="00485182" w:rsidRDefault="00485182" w:rsidP="00E653A2">
      <w:pPr>
        <w:spacing w:after="0" w:line="240" w:lineRule="auto"/>
      </w:pPr>
      <w:r>
        <w:separator/>
      </w:r>
    </w:p>
  </w:endnote>
  <w:endnote w:type="continuationSeparator" w:id="0">
    <w:p w14:paraId="6D559B42" w14:textId="77777777" w:rsidR="00485182" w:rsidRDefault="00485182" w:rsidP="00E65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E04C3" w14:textId="77777777" w:rsidR="003B1013" w:rsidRPr="00553339" w:rsidRDefault="003B1013" w:rsidP="00A831F5">
    <w:pPr>
      <w:pStyle w:val="Stopka"/>
      <w:pBdr>
        <w:top w:val="single" w:sz="2" w:space="1" w:color="auto"/>
      </w:pBdr>
      <w:rPr>
        <w:rFonts w:ascii="Arial" w:hAnsi="Arial" w:cs="Arial"/>
        <w:i/>
        <w:sz w:val="6"/>
      </w:rPr>
    </w:pPr>
  </w:p>
  <w:p w14:paraId="2E098D0D" w14:textId="77777777" w:rsidR="003B1013" w:rsidRPr="0069364B" w:rsidRDefault="003B1013" w:rsidP="00A831F5">
    <w:pPr>
      <w:pStyle w:val="Stopka"/>
      <w:pBdr>
        <w:top w:val="single" w:sz="2" w:space="1" w:color="auto"/>
      </w:pBdr>
      <w:rPr>
        <w:rFonts w:ascii="Arial" w:hAnsi="Arial" w:cs="Arial"/>
        <w:sz w:val="16"/>
      </w:rPr>
    </w:pPr>
    <w:r w:rsidRPr="001C3664">
      <w:rPr>
        <w:rFonts w:ascii="Arial" w:hAnsi="Arial" w:cs="Arial"/>
      </w:rPr>
      <w:t xml:space="preserve">Strona </w:t>
    </w:r>
    <w:sdt>
      <w:sdtPr>
        <w:rPr>
          <w:rFonts w:ascii="Arial" w:hAnsi="Arial" w:cs="Arial"/>
          <w:sz w:val="16"/>
        </w:rPr>
        <w:id w:val="1370871513"/>
        <w:docPartObj>
          <w:docPartGallery w:val="Page Numbers (Bottom of Page)"/>
          <w:docPartUnique/>
        </w:docPartObj>
      </w:sdtPr>
      <w:sdtEndPr/>
      <w:sdtContent>
        <w:r w:rsidRPr="001C3664">
          <w:rPr>
            <w:rFonts w:ascii="Arial" w:hAnsi="Arial" w:cs="Arial"/>
          </w:rPr>
          <w:fldChar w:fldCharType="begin"/>
        </w:r>
        <w:r w:rsidRPr="001C3664">
          <w:rPr>
            <w:rFonts w:ascii="Arial" w:hAnsi="Arial" w:cs="Arial"/>
          </w:rPr>
          <w:instrText>PAGE   \* MERGEFORMAT</w:instrText>
        </w:r>
        <w:r w:rsidRPr="001C3664">
          <w:rPr>
            <w:rFonts w:ascii="Arial" w:hAnsi="Arial" w:cs="Arial"/>
          </w:rPr>
          <w:fldChar w:fldCharType="separate"/>
        </w:r>
        <w:r w:rsidR="00485182">
          <w:rPr>
            <w:rFonts w:ascii="Arial" w:hAnsi="Arial" w:cs="Arial"/>
            <w:noProof/>
          </w:rPr>
          <w:t>1</w:t>
        </w:r>
        <w:r w:rsidRPr="001C3664">
          <w:rPr>
            <w:rFonts w:ascii="Arial" w:hAnsi="Arial" w:cs="Arial"/>
          </w:rPr>
          <w:fldChar w:fldCharType="end"/>
        </w:r>
      </w:sdtContent>
    </w:sdt>
  </w:p>
  <w:p w14:paraId="63B5E1A3" w14:textId="77777777" w:rsidR="003B1013" w:rsidRDefault="003B10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E3ED4E" w14:textId="77777777" w:rsidR="00485182" w:rsidRDefault="00485182" w:rsidP="00E653A2">
      <w:pPr>
        <w:spacing w:after="0" w:line="240" w:lineRule="auto"/>
      </w:pPr>
      <w:r>
        <w:separator/>
      </w:r>
    </w:p>
  </w:footnote>
  <w:footnote w:type="continuationSeparator" w:id="0">
    <w:p w14:paraId="0FBBD150" w14:textId="77777777" w:rsidR="00485182" w:rsidRDefault="00485182" w:rsidP="00E653A2">
      <w:pPr>
        <w:spacing w:after="0" w:line="240" w:lineRule="auto"/>
      </w:pPr>
      <w:r>
        <w:continuationSeparator/>
      </w:r>
    </w:p>
  </w:footnote>
  <w:footnote w:id="1">
    <w:p w14:paraId="60F03735" w14:textId="74878F7C" w:rsidR="00316067" w:rsidRPr="00316067" w:rsidRDefault="00316067" w:rsidP="00316067">
      <w:pPr>
        <w:pStyle w:val="Tekstprzypisudolnego"/>
        <w:rPr>
          <w:rFonts w:ascii="Arial" w:hAnsi="Arial" w:cs="Arial"/>
          <w:szCs w:val="18"/>
        </w:rPr>
      </w:pPr>
      <w:r w:rsidRPr="00316067">
        <w:rPr>
          <w:rStyle w:val="Odwoanieprzypisudolnego"/>
          <w:szCs w:val="18"/>
        </w:rPr>
        <w:footnoteRef/>
      </w:r>
      <w:r w:rsidRPr="00316067">
        <w:rPr>
          <w:rFonts w:ascii="Arial" w:hAnsi="Arial" w:cs="Arial"/>
          <w:szCs w:val="18"/>
        </w:rPr>
        <w:t xml:space="preserve"> </w:t>
      </w:r>
      <w:hyperlink r:id="rId1" w:history="1">
        <w:r w:rsidR="001D4436" w:rsidRPr="001D4436">
          <w:rPr>
            <w:rStyle w:val="Hipercze"/>
            <w:rFonts w:ascii="Arial" w:hAnsi="Arial" w:cs="Arial"/>
            <w:szCs w:val="18"/>
          </w:rPr>
          <w:t>OECD Data: GDP long-term forecast</w:t>
        </w:r>
      </w:hyperlink>
      <w:bookmarkStart w:id="0" w:name="_GoBack"/>
      <w:bookmarkEnd w:id="0"/>
      <w:r w:rsidR="001D4436">
        <w:rPr>
          <w:rFonts w:ascii="Arial" w:hAnsi="Arial" w:cs="Arial"/>
          <w:szCs w:val="18"/>
        </w:rPr>
        <w:t xml:space="preserve"> (</w:t>
      </w:r>
      <w:r w:rsidRPr="00316067">
        <w:rPr>
          <w:rFonts w:ascii="Arial" w:hAnsi="Arial" w:cs="Arial"/>
          <w:szCs w:val="18"/>
        </w:rPr>
        <w:t>dostęp: 05.01.2020</w:t>
      </w:r>
      <w:r w:rsidR="001D4436">
        <w:rPr>
          <w:rFonts w:ascii="Arial" w:hAnsi="Arial" w:cs="Arial"/>
          <w:szCs w:val="18"/>
        </w:rPr>
        <w:t>)</w:t>
      </w:r>
    </w:p>
  </w:footnote>
  <w:footnote w:id="2">
    <w:p w14:paraId="7A82C4AB" w14:textId="6FDF3BEC" w:rsidR="00316067" w:rsidRPr="00316067" w:rsidRDefault="00316067" w:rsidP="00316067">
      <w:pPr>
        <w:pStyle w:val="Tekstprzypisudolnego"/>
        <w:rPr>
          <w:rFonts w:ascii="Arial" w:hAnsi="Arial" w:cs="Arial"/>
          <w:szCs w:val="18"/>
        </w:rPr>
      </w:pPr>
      <w:r w:rsidRPr="00316067">
        <w:rPr>
          <w:rStyle w:val="Odwoanieprzypisudolnego"/>
          <w:szCs w:val="18"/>
        </w:rPr>
        <w:footnoteRef/>
      </w:r>
      <w:r w:rsidR="001D4436">
        <w:rPr>
          <w:rFonts w:ascii="Arial" w:hAnsi="Arial" w:cs="Arial"/>
          <w:szCs w:val="18"/>
        </w:rPr>
        <w:t xml:space="preserve"> </w:t>
      </w:r>
      <w:hyperlink r:id="rId2" w:history="1">
        <w:r w:rsidR="001D4436">
          <w:rPr>
            <w:rStyle w:val="Hipercze"/>
            <w:rFonts w:ascii="Arial" w:hAnsi="Arial" w:cs="Arial"/>
            <w:szCs w:val="18"/>
          </w:rPr>
          <w:t>GUS, Prognoza ludności gmin na lata 2017-2030 (opracowanie eksperymentalne)</w:t>
        </w:r>
      </w:hyperlink>
      <w:r w:rsidRPr="00316067">
        <w:rPr>
          <w:rFonts w:ascii="Arial" w:hAnsi="Arial" w:cs="Arial"/>
          <w:szCs w:val="18"/>
        </w:rPr>
        <w:t xml:space="preserve"> </w:t>
      </w:r>
      <w:r w:rsidR="001D4436">
        <w:rPr>
          <w:rFonts w:ascii="Arial" w:hAnsi="Arial" w:cs="Arial"/>
          <w:szCs w:val="18"/>
        </w:rPr>
        <w:t>(</w:t>
      </w:r>
      <w:r w:rsidRPr="00316067">
        <w:rPr>
          <w:rFonts w:ascii="Arial" w:hAnsi="Arial" w:cs="Arial"/>
          <w:szCs w:val="18"/>
        </w:rPr>
        <w:t>dostęp: 03.01.2020</w:t>
      </w:r>
      <w:r w:rsidR="001D4436">
        <w:rPr>
          <w:rFonts w:ascii="Arial" w:hAnsi="Arial" w:cs="Arial"/>
          <w:szCs w:val="18"/>
        </w:rPr>
        <w:t>)</w:t>
      </w:r>
    </w:p>
  </w:footnote>
  <w:footnote w:id="3">
    <w:p w14:paraId="05BFBADA" w14:textId="43DB120B" w:rsidR="00316067" w:rsidRPr="00240826" w:rsidRDefault="00316067" w:rsidP="00316067">
      <w:pPr>
        <w:pStyle w:val="Tekstprzypisudolnego"/>
        <w:rPr>
          <w:rFonts w:ascii="Arial" w:hAnsi="Arial" w:cs="Arial"/>
          <w:sz w:val="18"/>
          <w:szCs w:val="18"/>
        </w:rPr>
      </w:pPr>
      <w:r w:rsidRPr="00316067">
        <w:rPr>
          <w:rStyle w:val="Odwoanieprzypisudolnego"/>
          <w:szCs w:val="18"/>
        </w:rPr>
        <w:footnoteRef/>
      </w:r>
      <w:r w:rsidRPr="00316067">
        <w:rPr>
          <w:rFonts w:ascii="Arial" w:hAnsi="Arial" w:cs="Arial"/>
          <w:szCs w:val="18"/>
        </w:rPr>
        <w:t xml:space="preserve"> </w:t>
      </w:r>
      <w:hyperlink r:id="rId3" w:history="1">
        <w:r w:rsidR="001D4436" w:rsidRPr="001D4436">
          <w:rPr>
            <w:rStyle w:val="Hipercze"/>
            <w:rFonts w:ascii="Arial" w:hAnsi="Arial" w:cs="Arial"/>
            <w:szCs w:val="18"/>
          </w:rPr>
          <w:t>GUS, Prognoza ludności gmin na lata 2017-2030 (opracowanie eksperymentalne)</w:t>
        </w:r>
      </w:hyperlink>
      <w:r w:rsidR="001D4436">
        <w:rPr>
          <w:rFonts w:ascii="Arial" w:hAnsi="Arial" w:cs="Arial"/>
          <w:szCs w:val="18"/>
        </w:rPr>
        <w:t xml:space="preserve"> (dostęp: 03.01.2020)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73"/>
      <w:gridCol w:w="2253"/>
      <w:gridCol w:w="2346"/>
    </w:tblGrid>
    <w:tr w:rsidR="003B1013" w14:paraId="0D4B2721" w14:textId="77777777" w:rsidTr="000F7652">
      <w:tc>
        <w:tcPr>
          <w:tcW w:w="4536" w:type="dxa"/>
        </w:tcPr>
        <w:p w14:paraId="160824B5" w14:textId="77777777" w:rsidR="003B1013" w:rsidRPr="001C3664" w:rsidRDefault="003B1013" w:rsidP="00E653A2">
          <w:pPr>
            <w:pStyle w:val="Default"/>
            <w:rPr>
              <w:rFonts w:ascii="Arial" w:hAnsi="Arial" w:cs="Arial"/>
              <w:bCs/>
              <w:sz w:val="16"/>
              <w:szCs w:val="16"/>
            </w:rPr>
          </w:pPr>
          <w:r w:rsidRPr="001C3664">
            <w:rPr>
              <w:rFonts w:ascii="Arial" w:hAnsi="Arial" w:cs="Arial"/>
              <w:sz w:val="22"/>
              <w:szCs w:val="16"/>
            </w:rPr>
            <w:t>Raport z szacowania potrzeb finansowych i</w:t>
          </w:r>
          <w:r>
            <w:rPr>
              <w:rFonts w:ascii="Arial" w:hAnsi="Arial" w:cs="Arial"/>
              <w:sz w:val="22"/>
              <w:szCs w:val="16"/>
            </w:rPr>
            <w:t> </w:t>
          </w:r>
          <w:r w:rsidRPr="001C3664">
            <w:rPr>
              <w:rFonts w:ascii="Arial" w:hAnsi="Arial" w:cs="Arial"/>
              <w:sz w:val="22"/>
              <w:szCs w:val="16"/>
            </w:rPr>
            <w:t>luki finansowej</w:t>
          </w:r>
          <w:r w:rsidRPr="001C3664">
            <w:rPr>
              <w:rFonts w:ascii="Arial" w:hAnsi="Arial" w:cs="Arial"/>
              <w:sz w:val="16"/>
              <w:szCs w:val="16"/>
            </w:rPr>
            <w:t xml:space="preserve"> </w:t>
          </w:r>
        </w:p>
        <w:p w14:paraId="5174E116" w14:textId="77777777" w:rsidR="003B1013" w:rsidRPr="00553339" w:rsidRDefault="003B1013" w:rsidP="00E653A2">
          <w:pPr>
            <w:pStyle w:val="Default"/>
            <w:rPr>
              <w:rFonts w:ascii="Arial" w:hAnsi="Arial" w:cs="Arial"/>
              <w:sz w:val="6"/>
              <w:szCs w:val="16"/>
            </w:rPr>
          </w:pPr>
        </w:p>
      </w:tc>
      <w:tc>
        <w:tcPr>
          <w:tcW w:w="2268" w:type="dxa"/>
        </w:tcPr>
        <w:p w14:paraId="0BEBDEB7" w14:textId="77777777" w:rsidR="003B1013" w:rsidRDefault="003B1013" w:rsidP="00E653A2">
          <w:pPr>
            <w:pStyle w:val="Nagwek"/>
            <w:spacing w:before="60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1728D6C3" wp14:editId="7A5F44D9">
                <wp:extent cx="831850" cy="282829"/>
                <wp:effectExtent l="0" t="0" r="6350" b="3175"/>
                <wp:docPr id="5" name="Obraz 5" title="logotyp EPS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_epsec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6625" cy="28445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57" w:type="dxa"/>
        </w:tcPr>
        <w:p w14:paraId="72CBBE29" w14:textId="77777777" w:rsidR="003B1013" w:rsidRPr="000D4D38" w:rsidRDefault="003B1013" w:rsidP="00E653A2">
          <w:pPr>
            <w:pStyle w:val="Nagwek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  <w:lang w:eastAsia="pl-PL"/>
            </w:rPr>
            <w:drawing>
              <wp:inline distT="0" distB="0" distL="0" distR="0" wp14:anchorId="31ABD420" wp14:editId="19F1A6ED">
                <wp:extent cx="1352620" cy="285765"/>
                <wp:effectExtent l="0" t="0" r="0" b="0"/>
                <wp:docPr id="8" name="Obraz 8" title="logotyp IPOPEM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popema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2620" cy="2857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0EE5FCC" w14:textId="77777777" w:rsidR="003B1013" w:rsidRDefault="003B10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823C5"/>
    <w:multiLevelType w:val="hybridMultilevel"/>
    <w:tmpl w:val="FDC4D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245E1"/>
    <w:multiLevelType w:val="hybridMultilevel"/>
    <w:tmpl w:val="42902184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2" w15:restartNumberingAfterBreak="0">
    <w:nsid w:val="1A5E456A"/>
    <w:multiLevelType w:val="hybridMultilevel"/>
    <w:tmpl w:val="83002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D30F9"/>
    <w:multiLevelType w:val="hybridMultilevel"/>
    <w:tmpl w:val="0040D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D310CF"/>
    <w:multiLevelType w:val="multilevel"/>
    <w:tmpl w:val="6298D0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 w15:restartNumberingAfterBreak="0">
    <w:nsid w:val="21EC2616"/>
    <w:multiLevelType w:val="multilevel"/>
    <w:tmpl w:val="C868BB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80" w:hanging="1800"/>
      </w:pPr>
      <w:rPr>
        <w:rFonts w:hint="default"/>
      </w:rPr>
    </w:lvl>
  </w:abstractNum>
  <w:abstractNum w:abstractNumId="6" w15:restartNumberingAfterBreak="0">
    <w:nsid w:val="2B727AD5"/>
    <w:multiLevelType w:val="multilevel"/>
    <w:tmpl w:val="34F61F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C9F08CA"/>
    <w:multiLevelType w:val="hybridMultilevel"/>
    <w:tmpl w:val="C9A43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29395C"/>
    <w:multiLevelType w:val="hybridMultilevel"/>
    <w:tmpl w:val="6C1AB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3398D"/>
    <w:multiLevelType w:val="hybridMultilevel"/>
    <w:tmpl w:val="22A68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E38B8"/>
    <w:multiLevelType w:val="multilevel"/>
    <w:tmpl w:val="5EA440A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47" w:hanging="720"/>
      </w:pPr>
      <w:rPr>
        <w:rFonts w:hint="default"/>
      </w:rPr>
    </w:lvl>
    <w:lvl w:ilvl="3">
      <w:start w:val="1"/>
      <w:numFmt w:val="decimal"/>
      <w:pStyle w:val="Nagwek4"/>
      <w:isLgl/>
      <w:lvlText w:val="%1.%2.%3.%4"/>
      <w:lvlJc w:val="left"/>
      <w:pPr>
        <w:ind w:left="38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4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5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7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4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529" w:hanging="1800"/>
      </w:pPr>
      <w:rPr>
        <w:rFonts w:hint="default"/>
      </w:rPr>
    </w:lvl>
  </w:abstractNum>
  <w:abstractNum w:abstractNumId="11" w15:restartNumberingAfterBreak="0">
    <w:nsid w:val="3E366413"/>
    <w:multiLevelType w:val="hybridMultilevel"/>
    <w:tmpl w:val="E22C34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B0EC5"/>
    <w:multiLevelType w:val="multilevel"/>
    <w:tmpl w:val="BD9C9E2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F7C329D"/>
    <w:multiLevelType w:val="hybridMultilevel"/>
    <w:tmpl w:val="E4ECC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A168E"/>
    <w:multiLevelType w:val="hybridMultilevel"/>
    <w:tmpl w:val="DBF62E02"/>
    <w:lvl w:ilvl="0" w:tplc="0415000F">
      <w:start w:val="1"/>
      <w:numFmt w:val="decimal"/>
      <w:lvlText w:val="%1."/>
      <w:lvlJc w:val="left"/>
      <w:pPr>
        <w:ind w:left="1431" w:hanging="360"/>
      </w:p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15" w15:restartNumberingAfterBreak="0">
    <w:nsid w:val="4D086D46"/>
    <w:multiLevelType w:val="hybridMultilevel"/>
    <w:tmpl w:val="E4C02876"/>
    <w:lvl w:ilvl="0" w:tplc="0415000F">
      <w:start w:val="1"/>
      <w:numFmt w:val="decimal"/>
      <w:lvlText w:val="%1."/>
      <w:lvlJc w:val="left"/>
      <w:pPr>
        <w:ind w:left="1431" w:hanging="360"/>
      </w:p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16" w15:restartNumberingAfterBreak="0">
    <w:nsid w:val="4E8F7A6B"/>
    <w:multiLevelType w:val="hybridMultilevel"/>
    <w:tmpl w:val="62C46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BC7818"/>
    <w:multiLevelType w:val="multilevel"/>
    <w:tmpl w:val="6298D03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8" w15:restartNumberingAfterBreak="0">
    <w:nsid w:val="5FF16B49"/>
    <w:multiLevelType w:val="multilevel"/>
    <w:tmpl w:val="868C4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4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1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96" w:hanging="1800"/>
      </w:pPr>
      <w:rPr>
        <w:rFonts w:hint="default"/>
      </w:rPr>
    </w:lvl>
  </w:abstractNum>
  <w:abstractNum w:abstractNumId="19" w15:restartNumberingAfterBreak="0">
    <w:nsid w:val="738D28AA"/>
    <w:multiLevelType w:val="hybridMultilevel"/>
    <w:tmpl w:val="6D944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464688"/>
    <w:multiLevelType w:val="hybridMultilevel"/>
    <w:tmpl w:val="0DACDF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DBB4E4F"/>
    <w:multiLevelType w:val="multilevel"/>
    <w:tmpl w:val="E6A00C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</w:rPr>
    </w:lvl>
  </w:abstractNum>
  <w:abstractNum w:abstractNumId="22" w15:restartNumberingAfterBreak="0">
    <w:nsid w:val="7E7363A2"/>
    <w:multiLevelType w:val="multilevel"/>
    <w:tmpl w:val="F3F23C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F89087D"/>
    <w:multiLevelType w:val="hybridMultilevel"/>
    <w:tmpl w:val="CD68C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4"/>
  </w:num>
  <w:num w:numId="4">
    <w:abstractNumId w:val="10"/>
  </w:num>
  <w:num w:numId="5">
    <w:abstractNumId w:val="21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5"/>
  </w:num>
  <w:num w:numId="17">
    <w:abstractNumId w:val="22"/>
  </w:num>
  <w:num w:numId="18">
    <w:abstractNumId w:val="12"/>
  </w:num>
  <w:num w:numId="19">
    <w:abstractNumId w:val="19"/>
  </w:num>
  <w:num w:numId="20">
    <w:abstractNumId w:val="1"/>
  </w:num>
  <w:num w:numId="21">
    <w:abstractNumId w:val="3"/>
  </w:num>
  <w:num w:numId="22">
    <w:abstractNumId w:val="2"/>
  </w:num>
  <w:num w:numId="23">
    <w:abstractNumId w:val="16"/>
  </w:num>
  <w:num w:numId="24">
    <w:abstractNumId w:val="8"/>
  </w:num>
  <w:num w:numId="25">
    <w:abstractNumId w:val="7"/>
  </w:num>
  <w:num w:numId="26">
    <w:abstractNumId w:val="0"/>
  </w:num>
  <w:num w:numId="27">
    <w:abstractNumId w:val="23"/>
  </w:num>
  <w:num w:numId="28">
    <w:abstractNumId w:val="13"/>
  </w:num>
  <w:num w:numId="29">
    <w:abstractNumId w:val="14"/>
  </w:num>
  <w:num w:numId="30">
    <w:abstractNumId w:val="15"/>
  </w:num>
  <w:num w:numId="31">
    <w:abstractNumId w:val="20"/>
  </w:num>
  <w:num w:numId="32">
    <w:abstractNumId w:val="11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50C"/>
    <w:rsid w:val="0000139D"/>
    <w:rsid w:val="000131F3"/>
    <w:rsid w:val="000210C5"/>
    <w:rsid w:val="00026A8D"/>
    <w:rsid w:val="0004476A"/>
    <w:rsid w:val="00046A49"/>
    <w:rsid w:val="00046AF2"/>
    <w:rsid w:val="00046DD7"/>
    <w:rsid w:val="000519BB"/>
    <w:rsid w:val="00054CC6"/>
    <w:rsid w:val="000570FA"/>
    <w:rsid w:val="00057B62"/>
    <w:rsid w:val="00066990"/>
    <w:rsid w:val="0006792D"/>
    <w:rsid w:val="00072AFA"/>
    <w:rsid w:val="000756A5"/>
    <w:rsid w:val="000933B7"/>
    <w:rsid w:val="00093532"/>
    <w:rsid w:val="00094447"/>
    <w:rsid w:val="0009649F"/>
    <w:rsid w:val="000C127F"/>
    <w:rsid w:val="000C2382"/>
    <w:rsid w:val="000C4295"/>
    <w:rsid w:val="000C7B43"/>
    <w:rsid w:val="000E2ED7"/>
    <w:rsid w:val="000E611C"/>
    <w:rsid w:val="000F2C36"/>
    <w:rsid w:val="000F7616"/>
    <w:rsid w:val="000F7652"/>
    <w:rsid w:val="0010026F"/>
    <w:rsid w:val="00104F6F"/>
    <w:rsid w:val="0011075B"/>
    <w:rsid w:val="00111856"/>
    <w:rsid w:val="00114DEA"/>
    <w:rsid w:val="0012016A"/>
    <w:rsid w:val="0012335A"/>
    <w:rsid w:val="001266A0"/>
    <w:rsid w:val="00126AD6"/>
    <w:rsid w:val="00127C70"/>
    <w:rsid w:val="00132718"/>
    <w:rsid w:val="001409DC"/>
    <w:rsid w:val="0014126A"/>
    <w:rsid w:val="00151AEB"/>
    <w:rsid w:val="00151F1F"/>
    <w:rsid w:val="001540AE"/>
    <w:rsid w:val="0017280E"/>
    <w:rsid w:val="00175579"/>
    <w:rsid w:val="00175AC9"/>
    <w:rsid w:val="00177ABD"/>
    <w:rsid w:val="00177D88"/>
    <w:rsid w:val="00177E8A"/>
    <w:rsid w:val="001809B6"/>
    <w:rsid w:val="001842F3"/>
    <w:rsid w:val="00186D98"/>
    <w:rsid w:val="001917FB"/>
    <w:rsid w:val="00193419"/>
    <w:rsid w:val="00196AAC"/>
    <w:rsid w:val="00197FCE"/>
    <w:rsid w:val="001A1D9F"/>
    <w:rsid w:val="001A4363"/>
    <w:rsid w:val="001B07A7"/>
    <w:rsid w:val="001B14D4"/>
    <w:rsid w:val="001B22D1"/>
    <w:rsid w:val="001B4254"/>
    <w:rsid w:val="001B7883"/>
    <w:rsid w:val="001C20DA"/>
    <w:rsid w:val="001D2E1E"/>
    <w:rsid w:val="001D4436"/>
    <w:rsid w:val="001D6CAC"/>
    <w:rsid w:val="001D6DEA"/>
    <w:rsid w:val="001D7465"/>
    <w:rsid w:val="001D7E45"/>
    <w:rsid w:val="001E306C"/>
    <w:rsid w:val="001E4C6B"/>
    <w:rsid w:val="001E7363"/>
    <w:rsid w:val="001F2139"/>
    <w:rsid w:val="001F4412"/>
    <w:rsid w:val="0020425A"/>
    <w:rsid w:val="0020785A"/>
    <w:rsid w:val="00207B67"/>
    <w:rsid w:val="002139ED"/>
    <w:rsid w:val="00215E08"/>
    <w:rsid w:val="00217606"/>
    <w:rsid w:val="00223E97"/>
    <w:rsid w:val="00227029"/>
    <w:rsid w:val="00227D69"/>
    <w:rsid w:val="00236229"/>
    <w:rsid w:val="00242487"/>
    <w:rsid w:val="00242B92"/>
    <w:rsid w:val="002470D8"/>
    <w:rsid w:val="00250159"/>
    <w:rsid w:val="00252232"/>
    <w:rsid w:val="002537EA"/>
    <w:rsid w:val="00257FEB"/>
    <w:rsid w:val="00264B36"/>
    <w:rsid w:val="00270367"/>
    <w:rsid w:val="00272F46"/>
    <w:rsid w:val="0027686A"/>
    <w:rsid w:val="0028090F"/>
    <w:rsid w:val="00282A23"/>
    <w:rsid w:val="00283D46"/>
    <w:rsid w:val="0028448B"/>
    <w:rsid w:val="00287FA5"/>
    <w:rsid w:val="00290228"/>
    <w:rsid w:val="00294FF8"/>
    <w:rsid w:val="002A4A79"/>
    <w:rsid w:val="002B3209"/>
    <w:rsid w:val="002B3E5E"/>
    <w:rsid w:val="002C164B"/>
    <w:rsid w:val="002C2D3F"/>
    <w:rsid w:val="002D1023"/>
    <w:rsid w:val="002D24C5"/>
    <w:rsid w:val="002D2F5C"/>
    <w:rsid w:val="002D3E63"/>
    <w:rsid w:val="002D5431"/>
    <w:rsid w:val="002D7ABC"/>
    <w:rsid w:val="002E463B"/>
    <w:rsid w:val="002F165F"/>
    <w:rsid w:val="002F5F19"/>
    <w:rsid w:val="0030452E"/>
    <w:rsid w:val="00305C4A"/>
    <w:rsid w:val="00307F15"/>
    <w:rsid w:val="0031412D"/>
    <w:rsid w:val="00316067"/>
    <w:rsid w:val="003175A0"/>
    <w:rsid w:val="00322368"/>
    <w:rsid w:val="0034583B"/>
    <w:rsid w:val="00345A51"/>
    <w:rsid w:val="0034723E"/>
    <w:rsid w:val="003517C4"/>
    <w:rsid w:val="00352609"/>
    <w:rsid w:val="003624EC"/>
    <w:rsid w:val="00381810"/>
    <w:rsid w:val="00384085"/>
    <w:rsid w:val="00395C1D"/>
    <w:rsid w:val="003A2249"/>
    <w:rsid w:val="003A4A38"/>
    <w:rsid w:val="003A6822"/>
    <w:rsid w:val="003B1013"/>
    <w:rsid w:val="003B1121"/>
    <w:rsid w:val="003B1BDE"/>
    <w:rsid w:val="003D4CD7"/>
    <w:rsid w:val="003D56D2"/>
    <w:rsid w:val="003E413E"/>
    <w:rsid w:val="003F1C42"/>
    <w:rsid w:val="003F41FE"/>
    <w:rsid w:val="004107CD"/>
    <w:rsid w:val="004147DF"/>
    <w:rsid w:val="004245A8"/>
    <w:rsid w:val="00427707"/>
    <w:rsid w:val="00433F1C"/>
    <w:rsid w:val="0043503A"/>
    <w:rsid w:val="00435C8A"/>
    <w:rsid w:val="00436565"/>
    <w:rsid w:val="00440DC7"/>
    <w:rsid w:val="004419B3"/>
    <w:rsid w:val="00446F72"/>
    <w:rsid w:val="0045173F"/>
    <w:rsid w:val="00452346"/>
    <w:rsid w:val="00460CBA"/>
    <w:rsid w:val="00460DCF"/>
    <w:rsid w:val="00463419"/>
    <w:rsid w:val="00475A99"/>
    <w:rsid w:val="00482067"/>
    <w:rsid w:val="004844E3"/>
    <w:rsid w:val="00485182"/>
    <w:rsid w:val="004977A7"/>
    <w:rsid w:val="004B7AE6"/>
    <w:rsid w:val="004D615A"/>
    <w:rsid w:val="004D7F45"/>
    <w:rsid w:val="004E25D4"/>
    <w:rsid w:val="004F579A"/>
    <w:rsid w:val="00502BDD"/>
    <w:rsid w:val="00503B46"/>
    <w:rsid w:val="00505601"/>
    <w:rsid w:val="00510FA1"/>
    <w:rsid w:val="00511EA3"/>
    <w:rsid w:val="0051356C"/>
    <w:rsid w:val="00522EF4"/>
    <w:rsid w:val="00531A22"/>
    <w:rsid w:val="00540884"/>
    <w:rsid w:val="005446A7"/>
    <w:rsid w:val="0054530F"/>
    <w:rsid w:val="005655B1"/>
    <w:rsid w:val="005705DB"/>
    <w:rsid w:val="00571A96"/>
    <w:rsid w:val="00576D1F"/>
    <w:rsid w:val="00582BAD"/>
    <w:rsid w:val="00582F5E"/>
    <w:rsid w:val="00587532"/>
    <w:rsid w:val="005A40A1"/>
    <w:rsid w:val="005A46CF"/>
    <w:rsid w:val="005A557C"/>
    <w:rsid w:val="005A5993"/>
    <w:rsid w:val="005A7BBC"/>
    <w:rsid w:val="005B054E"/>
    <w:rsid w:val="005B084D"/>
    <w:rsid w:val="005B4371"/>
    <w:rsid w:val="005C2C91"/>
    <w:rsid w:val="005C6FA3"/>
    <w:rsid w:val="005C7EA2"/>
    <w:rsid w:val="005D5B8B"/>
    <w:rsid w:val="005D5CD9"/>
    <w:rsid w:val="005D7C07"/>
    <w:rsid w:val="005E29E1"/>
    <w:rsid w:val="005E3D9E"/>
    <w:rsid w:val="005E4D95"/>
    <w:rsid w:val="005E5DB7"/>
    <w:rsid w:val="006032ED"/>
    <w:rsid w:val="006120A0"/>
    <w:rsid w:val="00616AC9"/>
    <w:rsid w:val="006257AD"/>
    <w:rsid w:val="00630900"/>
    <w:rsid w:val="00643D53"/>
    <w:rsid w:val="006444FF"/>
    <w:rsid w:val="0064523F"/>
    <w:rsid w:val="00645FFC"/>
    <w:rsid w:val="00646417"/>
    <w:rsid w:val="006540D1"/>
    <w:rsid w:val="00656241"/>
    <w:rsid w:val="00663EC7"/>
    <w:rsid w:val="006651FB"/>
    <w:rsid w:val="0067300A"/>
    <w:rsid w:val="00680136"/>
    <w:rsid w:val="00694E2D"/>
    <w:rsid w:val="00697553"/>
    <w:rsid w:val="006A2DB7"/>
    <w:rsid w:val="006A6783"/>
    <w:rsid w:val="006B6E67"/>
    <w:rsid w:val="006C09E6"/>
    <w:rsid w:val="006C0ED2"/>
    <w:rsid w:val="006C176C"/>
    <w:rsid w:val="006C4A9A"/>
    <w:rsid w:val="006C4DFE"/>
    <w:rsid w:val="006C7AD8"/>
    <w:rsid w:val="006D35CD"/>
    <w:rsid w:val="006D4866"/>
    <w:rsid w:val="006D5C75"/>
    <w:rsid w:val="006E0B12"/>
    <w:rsid w:val="006E45ED"/>
    <w:rsid w:val="006F11D0"/>
    <w:rsid w:val="006F2952"/>
    <w:rsid w:val="006F50C9"/>
    <w:rsid w:val="006F577F"/>
    <w:rsid w:val="007039DE"/>
    <w:rsid w:val="007237F8"/>
    <w:rsid w:val="00725516"/>
    <w:rsid w:val="0073012E"/>
    <w:rsid w:val="00731728"/>
    <w:rsid w:val="007319AA"/>
    <w:rsid w:val="0073529E"/>
    <w:rsid w:val="007504B9"/>
    <w:rsid w:val="0075402C"/>
    <w:rsid w:val="00760C20"/>
    <w:rsid w:val="00764D83"/>
    <w:rsid w:val="0076594D"/>
    <w:rsid w:val="00770BB9"/>
    <w:rsid w:val="00771B44"/>
    <w:rsid w:val="00773446"/>
    <w:rsid w:val="007773A0"/>
    <w:rsid w:val="007817B4"/>
    <w:rsid w:val="00783D15"/>
    <w:rsid w:val="007879FC"/>
    <w:rsid w:val="00793DB8"/>
    <w:rsid w:val="007A5479"/>
    <w:rsid w:val="007A73FD"/>
    <w:rsid w:val="007B0172"/>
    <w:rsid w:val="007B1720"/>
    <w:rsid w:val="007B1CDA"/>
    <w:rsid w:val="007B66C1"/>
    <w:rsid w:val="007C6346"/>
    <w:rsid w:val="007C71E9"/>
    <w:rsid w:val="007D60BF"/>
    <w:rsid w:val="007E2837"/>
    <w:rsid w:val="007F0B1D"/>
    <w:rsid w:val="007F1949"/>
    <w:rsid w:val="007F2916"/>
    <w:rsid w:val="007F6000"/>
    <w:rsid w:val="00802CA1"/>
    <w:rsid w:val="0080360A"/>
    <w:rsid w:val="008049CF"/>
    <w:rsid w:val="00805A3B"/>
    <w:rsid w:val="00805A55"/>
    <w:rsid w:val="008065A3"/>
    <w:rsid w:val="00810854"/>
    <w:rsid w:val="00811E4E"/>
    <w:rsid w:val="008300A9"/>
    <w:rsid w:val="008403F0"/>
    <w:rsid w:val="008447B2"/>
    <w:rsid w:val="00851C2D"/>
    <w:rsid w:val="00866495"/>
    <w:rsid w:val="00873F2B"/>
    <w:rsid w:val="00873FCB"/>
    <w:rsid w:val="00880EF9"/>
    <w:rsid w:val="0088194D"/>
    <w:rsid w:val="00885CCA"/>
    <w:rsid w:val="008862A9"/>
    <w:rsid w:val="008918F7"/>
    <w:rsid w:val="00892082"/>
    <w:rsid w:val="00896DEE"/>
    <w:rsid w:val="008A22FB"/>
    <w:rsid w:val="008A35A4"/>
    <w:rsid w:val="008A6171"/>
    <w:rsid w:val="008A66A1"/>
    <w:rsid w:val="008B2DCD"/>
    <w:rsid w:val="008B4FE6"/>
    <w:rsid w:val="008C684E"/>
    <w:rsid w:val="008C77A3"/>
    <w:rsid w:val="008D1498"/>
    <w:rsid w:val="008D21D1"/>
    <w:rsid w:val="008D4584"/>
    <w:rsid w:val="008D5A93"/>
    <w:rsid w:val="008D6E8E"/>
    <w:rsid w:val="008D76E2"/>
    <w:rsid w:val="008E66C6"/>
    <w:rsid w:val="008E7BDA"/>
    <w:rsid w:val="008F0CC6"/>
    <w:rsid w:val="008F1821"/>
    <w:rsid w:val="008F21ED"/>
    <w:rsid w:val="008F494D"/>
    <w:rsid w:val="008F6547"/>
    <w:rsid w:val="00901961"/>
    <w:rsid w:val="009044AD"/>
    <w:rsid w:val="0091013C"/>
    <w:rsid w:val="0091410F"/>
    <w:rsid w:val="00914B95"/>
    <w:rsid w:val="00917B9C"/>
    <w:rsid w:val="00921FBE"/>
    <w:rsid w:val="00933FDA"/>
    <w:rsid w:val="0094512E"/>
    <w:rsid w:val="00953BD4"/>
    <w:rsid w:val="00955467"/>
    <w:rsid w:val="00955C94"/>
    <w:rsid w:val="00960441"/>
    <w:rsid w:val="009607F8"/>
    <w:rsid w:val="00961A8E"/>
    <w:rsid w:val="00962721"/>
    <w:rsid w:val="00964BEB"/>
    <w:rsid w:val="00967BC5"/>
    <w:rsid w:val="00973A54"/>
    <w:rsid w:val="00973CB1"/>
    <w:rsid w:val="00975D5E"/>
    <w:rsid w:val="00984139"/>
    <w:rsid w:val="00984A03"/>
    <w:rsid w:val="0098635E"/>
    <w:rsid w:val="00986EC9"/>
    <w:rsid w:val="00992CDA"/>
    <w:rsid w:val="009974E2"/>
    <w:rsid w:val="009A1552"/>
    <w:rsid w:val="009A17AB"/>
    <w:rsid w:val="009A3DFD"/>
    <w:rsid w:val="009B17F6"/>
    <w:rsid w:val="009B29EB"/>
    <w:rsid w:val="009B2E25"/>
    <w:rsid w:val="009B40E7"/>
    <w:rsid w:val="009B4BCE"/>
    <w:rsid w:val="009B7B3B"/>
    <w:rsid w:val="009C2E6D"/>
    <w:rsid w:val="009C7B07"/>
    <w:rsid w:val="009D3459"/>
    <w:rsid w:val="009F068E"/>
    <w:rsid w:val="009F33F8"/>
    <w:rsid w:val="009F4BBF"/>
    <w:rsid w:val="009F6884"/>
    <w:rsid w:val="00A05E86"/>
    <w:rsid w:val="00A06E66"/>
    <w:rsid w:val="00A07247"/>
    <w:rsid w:val="00A206DA"/>
    <w:rsid w:val="00A20D42"/>
    <w:rsid w:val="00A311BA"/>
    <w:rsid w:val="00A33968"/>
    <w:rsid w:val="00A453D7"/>
    <w:rsid w:val="00A5453E"/>
    <w:rsid w:val="00A6077F"/>
    <w:rsid w:val="00A732B3"/>
    <w:rsid w:val="00A76575"/>
    <w:rsid w:val="00A76F8C"/>
    <w:rsid w:val="00A831F5"/>
    <w:rsid w:val="00A90073"/>
    <w:rsid w:val="00A91070"/>
    <w:rsid w:val="00A9120F"/>
    <w:rsid w:val="00AA04B2"/>
    <w:rsid w:val="00AA136D"/>
    <w:rsid w:val="00AA2829"/>
    <w:rsid w:val="00AA50B2"/>
    <w:rsid w:val="00AB2E08"/>
    <w:rsid w:val="00AB3400"/>
    <w:rsid w:val="00AC719F"/>
    <w:rsid w:val="00AD5F38"/>
    <w:rsid w:val="00AD61B5"/>
    <w:rsid w:val="00AD6D51"/>
    <w:rsid w:val="00AE28F8"/>
    <w:rsid w:val="00AF07DD"/>
    <w:rsid w:val="00AF3360"/>
    <w:rsid w:val="00B001E1"/>
    <w:rsid w:val="00B04E59"/>
    <w:rsid w:val="00B07C96"/>
    <w:rsid w:val="00B10595"/>
    <w:rsid w:val="00B105B3"/>
    <w:rsid w:val="00B121C8"/>
    <w:rsid w:val="00B12621"/>
    <w:rsid w:val="00B134B2"/>
    <w:rsid w:val="00B146FE"/>
    <w:rsid w:val="00B148BE"/>
    <w:rsid w:val="00B16116"/>
    <w:rsid w:val="00B17896"/>
    <w:rsid w:val="00B22304"/>
    <w:rsid w:val="00B272C4"/>
    <w:rsid w:val="00B2755B"/>
    <w:rsid w:val="00B33F37"/>
    <w:rsid w:val="00B64D54"/>
    <w:rsid w:val="00B64F9A"/>
    <w:rsid w:val="00B66709"/>
    <w:rsid w:val="00B671EB"/>
    <w:rsid w:val="00B721BB"/>
    <w:rsid w:val="00B8050C"/>
    <w:rsid w:val="00B92320"/>
    <w:rsid w:val="00B93E7A"/>
    <w:rsid w:val="00BA090F"/>
    <w:rsid w:val="00BA37A7"/>
    <w:rsid w:val="00BA399E"/>
    <w:rsid w:val="00BA4AD8"/>
    <w:rsid w:val="00BA709D"/>
    <w:rsid w:val="00BB6CEA"/>
    <w:rsid w:val="00BC298E"/>
    <w:rsid w:val="00BC333E"/>
    <w:rsid w:val="00BC53FF"/>
    <w:rsid w:val="00BC5DF8"/>
    <w:rsid w:val="00BF125B"/>
    <w:rsid w:val="00BF2D32"/>
    <w:rsid w:val="00C03EE4"/>
    <w:rsid w:val="00C045F3"/>
    <w:rsid w:val="00C20096"/>
    <w:rsid w:val="00C21745"/>
    <w:rsid w:val="00C218C6"/>
    <w:rsid w:val="00C27702"/>
    <w:rsid w:val="00C46199"/>
    <w:rsid w:val="00C5051F"/>
    <w:rsid w:val="00C52B9A"/>
    <w:rsid w:val="00C5436C"/>
    <w:rsid w:val="00C571D4"/>
    <w:rsid w:val="00C613EB"/>
    <w:rsid w:val="00C617A0"/>
    <w:rsid w:val="00C6643F"/>
    <w:rsid w:val="00C711D8"/>
    <w:rsid w:val="00C747AD"/>
    <w:rsid w:val="00C85EC6"/>
    <w:rsid w:val="00C91510"/>
    <w:rsid w:val="00CB011C"/>
    <w:rsid w:val="00CC2462"/>
    <w:rsid w:val="00CD402C"/>
    <w:rsid w:val="00CF219F"/>
    <w:rsid w:val="00D00930"/>
    <w:rsid w:val="00D01893"/>
    <w:rsid w:val="00D02596"/>
    <w:rsid w:val="00D13B79"/>
    <w:rsid w:val="00D15926"/>
    <w:rsid w:val="00D1672C"/>
    <w:rsid w:val="00D363CE"/>
    <w:rsid w:val="00D37184"/>
    <w:rsid w:val="00D466B8"/>
    <w:rsid w:val="00D53188"/>
    <w:rsid w:val="00D67809"/>
    <w:rsid w:val="00D81681"/>
    <w:rsid w:val="00D8445A"/>
    <w:rsid w:val="00D848AF"/>
    <w:rsid w:val="00D852D7"/>
    <w:rsid w:val="00D96691"/>
    <w:rsid w:val="00DA5609"/>
    <w:rsid w:val="00DC07BE"/>
    <w:rsid w:val="00DC2C69"/>
    <w:rsid w:val="00DC46F5"/>
    <w:rsid w:val="00DC6C56"/>
    <w:rsid w:val="00DD02DF"/>
    <w:rsid w:val="00DD12E2"/>
    <w:rsid w:val="00DD2CBF"/>
    <w:rsid w:val="00DD3DB6"/>
    <w:rsid w:val="00DE2570"/>
    <w:rsid w:val="00DE707C"/>
    <w:rsid w:val="00DF0B98"/>
    <w:rsid w:val="00DF2A34"/>
    <w:rsid w:val="00DF6D79"/>
    <w:rsid w:val="00DF7107"/>
    <w:rsid w:val="00E211B6"/>
    <w:rsid w:val="00E21BFD"/>
    <w:rsid w:val="00E2233A"/>
    <w:rsid w:val="00E2482A"/>
    <w:rsid w:val="00E3020E"/>
    <w:rsid w:val="00E3372A"/>
    <w:rsid w:val="00E34EF3"/>
    <w:rsid w:val="00E35175"/>
    <w:rsid w:val="00E35890"/>
    <w:rsid w:val="00E40B3B"/>
    <w:rsid w:val="00E52AFA"/>
    <w:rsid w:val="00E653A2"/>
    <w:rsid w:val="00E66E4D"/>
    <w:rsid w:val="00E728DB"/>
    <w:rsid w:val="00E7636B"/>
    <w:rsid w:val="00E81DE6"/>
    <w:rsid w:val="00E84A3B"/>
    <w:rsid w:val="00E8597E"/>
    <w:rsid w:val="00E94488"/>
    <w:rsid w:val="00E94582"/>
    <w:rsid w:val="00EA0EC3"/>
    <w:rsid w:val="00EA1411"/>
    <w:rsid w:val="00EA39CD"/>
    <w:rsid w:val="00EC11CD"/>
    <w:rsid w:val="00EC5BAF"/>
    <w:rsid w:val="00ED077A"/>
    <w:rsid w:val="00ED305C"/>
    <w:rsid w:val="00ED338C"/>
    <w:rsid w:val="00ED4118"/>
    <w:rsid w:val="00ED436A"/>
    <w:rsid w:val="00ED63BC"/>
    <w:rsid w:val="00EF02F4"/>
    <w:rsid w:val="00EF51EB"/>
    <w:rsid w:val="00F06CEC"/>
    <w:rsid w:val="00F117EE"/>
    <w:rsid w:val="00F13F57"/>
    <w:rsid w:val="00F21AA7"/>
    <w:rsid w:val="00F23226"/>
    <w:rsid w:val="00F241F7"/>
    <w:rsid w:val="00F24FEF"/>
    <w:rsid w:val="00F26D35"/>
    <w:rsid w:val="00F31E14"/>
    <w:rsid w:val="00F32FB5"/>
    <w:rsid w:val="00F34AAE"/>
    <w:rsid w:val="00F41E13"/>
    <w:rsid w:val="00F427CC"/>
    <w:rsid w:val="00F51FD5"/>
    <w:rsid w:val="00F535D3"/>
    <w:rsid w:val="00F639D1"/>
    <w:rsid w:val="00F67A2F"/>
    <w:rsid w:val="00F70E7D"/>
    <w:rsid w:val="00F736F2"/>
    <w:rsid w:val="00F745E6"/>
    <w:rsid w:val="00F8068E"/>
    <w:rsid w:val="00F8217F"/>
    <w:rsid w:val="00F87581"/>
    <w:rsid w:val="00F906DC"/>
    <w:rsid w:val="00F93C95"/>
    <w:rsid w:val="00F969FE"/>
    <w:rsid w:val="00FA1505"/>
    <w:rsid w:val="00FA2DB8"/>
    <w:rsid w:val="00FA39A7"/>
    <w:rsid w:val="00FB11D1"/>
    <w:rsid w:val="00FD47AE"/>
    <w:rsid w:val="00FF441F"/>
    <w:rsid w:val="00FF53E4"/>
    <w:rsid w:val="00FF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7568B1"/>
  <w15:chartTrackingRefBased/>
  <w15:docId w15:val="{57EEECB8-3506-4AEC-9A3A-28DA731B0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606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1728"/>
    <w:pPr>
      <w:keepNext/>
      <w:keepLines/>
      <w:spacing w:before="360" w:after="0" w:line="276" w:lineRule="auto"/>
      <w:ind w:left="360" w:hanging="360"/>
      <w:outlineLvl w:val="0"/>
    </w:pPr>
    <w:rPr>
      <w:rFonts w:ascii="Arial" w:eastAsiaTheme="majorEastAsia" w:hAnsi="Arial" w:cs="Arial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31A22"/>
    <w:pPr>
      <w:spacing w:after="120" w:line="276" w:lineRule="auto"/>
      <w:ind w:left="851" w:hanging="851"/>
      <w:jc w:val="both"/>
      <w:outlineLvl w:val="1"/>
    </w:pPr>
    <w:rPr>
      <w:rFonts w:ascii="Arial" w:eastAsiaTheme="minorHAnsi" w:hAnsi="Arial" w:cs="Arial"/>
      <w:b/>
      <w:bCs/>
      <w:sz w:val="24"/>
      <w:szCs w:val="1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531A22"/>
    <w:pPr>
      <w:outlineLvl w:val="2"/>
    </w:pPr>
  </w:style>
  <w:style w:type="paragraph" w:styleId="Nagwek4">
    <w:name w:val="heading 4"/>
    <w:basedOn w:val="Nagwek2"/>
    <w:next w:val="Normalny"/>
    <w:link w:val="Nagwek4Znak"/>
    <w:uiPriority w:val="9"/>
    <w:unhideWhenUsed/>
    <w:qFormat/>
    <w:rsid w:val="00B8050C"/>
    <w:pPr>
      <w:numPr>
        <w:ilvl w:val="3"/>
        <w:numId w:val="4"/>
      </w:numPr>
      <w:outlineLvl w:val="3"/>
    </w:pPr>
    <w:rPr>
      <w:b w:val="0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0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50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8050C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2Znak">
    <w:name w:val="Nagłówek 2 Znak"/>
    <w:basedOn w:val="Domylnaczcionkaakapitu"/>
    <w:link w:val="Nagwek2"/>
    <w:uiPriority w:val="9"/>
    <w:rsid w:val="00531A22"/>
    <w:rPr>
      <w:rFonts w:ascii="Arial" w:hAnsi="Arial" w:cs="Arial"/>
      <w:b/>
      <w:bCs/>
      <w:sz w:val="24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731728"/>
    <w:rPr>
      <w:rFonts w:ascii="Arial" w:eastAsiaTheme="majorEastAsia" w:hAnsi="Arial" w:cs="Arial"/>
      <w:b/>
      <w:sz w:val="28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31A22"/>
    <w:rPr>
      <w:rFonts w:ascii="Arial" w:hAnsi="Arial" w:cs="Arial"/>
      <w:b/>
      <w:sz w:val="24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B8050C"/>
    <w:rPr>
      <w:rFonts w:ascii="Arial" w:hAnsi="Arial" w:cs="Arial"/>
      <w:b/>
      <w:bCs/>
      <w:sz w:val="24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653A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E653A2"/>
  </w:style>
  <w:style w:type="paragraph" w:styleId="Stopka">
    <w:name w:val="footer"/>
    <w:basedOn w:val="Normalny"/>
    <w:link w:val="StopkaZnak"/>
    <w:uiPriority w:val="99"/>
    <w:unhideWhenUsed/>
    <w:rsid w:val="00E653A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E653A2"/>
  </w:style>
  <w:style w:type="paragraph" w:customStyle="1" w:styleId="Default">
    <w:name w:val="Default"/>
    <w:rsid w:val="00E653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65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03B46"/>
    <w:pPr>
      <w:spacing w:after="200" w:line="240" w:lineRule="auto"/>
    </w:pPr>
    <w:rPr>
      <w:rFonts w:ascii="Arial" w:eastAsiaTheme="minorHAnsi" w:hAnsi="Arial" w:cstheme="minorBidi"/>
      <w:i/>
      <w:iCs/>
      <w:color w:val="44546A" w:themeColor="text2"/>
      <w:sz w:val="24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B6E6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6E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B6E67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6032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42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42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42F3"/>
    <w:rPr>
      <w:vertAlign w:val="superscript"/>
    </w:rPr>
  </w:style>
  <w:style w:type="paragraph" w:styleId="Bezodstpw">
    <w:name w:val="No Spacing"/>
    <w:uiPriority w:val="1"/>
    <w:qFormat/>
    <w:rsid w:val="00ED436A"/>
    <w:pPr>
      <w:spacing w:after="0" w:line="240" w:lineRule="auto"/>
    </w:pPr>
  </w:style>
  <w:style w:type="paragraph" w:styleId="Spisilustracji">
    <w:name w:val="table of figures"/>
    <w:basedOn w:val="Normalny"/>
    <w:next w:val="Normalny"/>
    <w:uiPriority w:val="99"/>
    <w:unhideWhenUsed/>
    <w:rsid w:val="007F2916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7F2916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D44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tat.gov.pl/obszary-tematyczne/ludnosc/prognoza-ludnosci/prognoza-ludnosci-gmin-na-lata-2017-2030-opracowanie-eksperymentalne,10,1.html" TargetMode="External"/><Relationship Id="rId2" Type="http://schemas.openxmlformats.org/officeDocument/2006/relationships/hyperlink" Target="https://stat.gov.pl/obszary-tematyczne/ludnosc/prognoza-ludnosci/prognoza-ludnosci-gmin-na-lata-2017-2030-opracowanie-eksperymentalne,10,1.html" TargetMode="External"/><Relationship Id="rId1" Type="http://schemas.openxmlformats.org/officeDocument/2006/relationships/hyperlink" Target="https://data.oecd.org/gdp/gdp-long-term-forecast.ht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CD622-5057-45DC-9AC5-F767F0D6A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499</Words>
  <Characters>2995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Potrzeby inwestycyjne w zakresie usług publicznych.</vt:lpstr>
      <vt:lpstr>        ZAŁĄCZNIK 4. Dane wykorzystane do predykcji </vt:lpstr>
    </vt:vector>
  </TitlesOfParts>
  <Company/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Potrzeby inwestycyjne w zakresie usług publicznych.</dc:title>
  <dc:subject/>
  <dc:creator>Biuro Warszawa</dc:creator>
  <cp:keywords/>
  <dc:description/>
  <cp:lastModifiedBy>Jacek K</cp:lastModifiedBy>
  <cp:revision>4</cp:revision>
  <cp:lastPrinted>2020-03-20T16:24:00Z</cp:lastPrinted>
  <dcterms:created xsi:type="dcterms:W3CDTF">2020-03-20T16:23:00Z</dcterms:created>
  <dcterms:modified xsi:type="dcterms:W3CDTF">2020-04-02T09:39:00Z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e1c77f6e-37b7-3aeb-8777-63a51f0b8817</vt:lpwstr>
  </property>
  <property fmtid="{D5CDD505-2E9C-101B-9397-08002B2CF9AE}" pid="4" name="Mendeley Citation Style_1">
    <vt:lpwstr>http://www.zotero.org/styles/chicago-author-date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http://www.zotero.org/styles/harvard1</vt:lpwstr>
  </property>
  <property fmtid="{D5CDD505-2E9C-101B-9397-08002B2CF9AE}" pid="18" name="Mendeley Recent Style Name 6_1">
    <vt:lpwstr>Harvard reference format 1 (deprecated)</vt:lpwstr>
  </property>
  <property fmtid="{D5CDD505-2E9C-101B-9397-08002B2CF9AE}" pid="19" name="Mendeley Recent Style Id 7_1">
    <vt:lpwstr>http://www.zotero.org/styles/ieee</vt:lpwstr>
  </property>
  <property fmtid="{D5CDD505-2E9C-101B-9397-08002B2CF9AE}" pid="20" name="Mendeley Recent Style Name 7_1">
    <vt:lpwstr>IEEE</vt:lpwstr>
  </property>
  <property fmtid="{D5CDD505-2E9C-101B-9397-08002B2CF9AE}" pid="21" name="Mendeley Recent Style Id 8_1">
    <vt:lpwstr>http://www.zotero.org/styles/modern-humanities-research-association</vt:lpwstr>
  </property>
  <property fmtid="{D5CDD505-2E9C-101B-9397-08002B2CF9AE}" pid="22" name="Mendeley Recent Style Name 8_1">
    <vt:lpwstr>Modern Humanities Research Association 3rd edition (note with bibliography)</vt:lpwstr>
  </property>
  <property fmtid="{D5CDD505-2E9C-101B-9397-08002B2CF9AE}" pid="23" name="Mendeley Recent Style Id 9_1">
    <vt:lpwstr>http://www.zotero.org/styles/modern-language-association</vt:lpwstr>
  </property>
  <property fmtid="{D5CDD505-2E9C-101B-9397-08002B2CF9AE}" pid="24" name="Mendeley Recent Style Name 9_1">
    <vt:lpwstr>Modern Language Association 8th edition</vt:lpwstr>
  </property>
</Properties>
</file>