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A3399D" w14:textId="18F8262C" w:rsidR="0062036F" w:rsidRDefault="003F3831" w:rsidP="00560F01">
      <w:pPr>
        <w:rPr>
          <w:rFonts w:asciiTheme="minorHAnsi" w:hAnsiTheme="minorHAnsi" w:cstheme="minorHAnsi"/>
        </w:rPr>
      </w:pPr>
      <w:r>
        <w:rPr>
          <w:noProof/>
        </w:rPr>
        <w:drawing>
          <wp:inline distT="0" distB="0" distL="0" distR="0" wp14:anchorId="02DD2C45" wp14:editId="03D05770">
            <wp:extent cx="5759450" cy="807933"/>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9450" cy="807933"/>
                    </a:xfrm>
                    <a:prstGeom prst="rect">
                      <a:avLst/>
                    </a:prstGeom>
                    <a:noFill/>
                  </pic:spPr>
                </pic:pic>
              </a:graphicData>
            </a:graphic>
          </wp:inline>
        </w:drawing>
      </w:r>
      <w:r w:rsidR="0021507A" w:rsidRPr="00A1163E">
        <w:rPr>
          <w:noProof/>
          <w:sz w:val="14"/>
        </w:rPr>
        <mc:AlternateContent>
          <mc:Choice Requires="wps">
            <w:drawing>
              <wp:anchor distT="0" distB="0" distL="114300" distR="114300" simplePos="0" relativeHeight="251656193" behindDoc="0" locked="0" layoutInCell="1" allowOverlap="1" wp14:anchorId="49754C92" wp14:editId="61B69498">
                <wp:simplePos x="0" y="0"/>
                <wp:positionH relativeFrom="margin">
                  <wp:posOffset>2512815</wp:posOffset>
                </wp:positionH>
                <wp:positionV relativeFrom="paragraph">
                  <wp:posOffset>-1458955</wp:posOffset>
                </wp:positionV>
                <wp:extent cx="1835148" cy="10069198"/>
                <wp:effectExtent l="35560" t="40640" r="29845" b="29845"/>
                <wp:wrapNone/>
                <wp:docPr id="13" name="Prostokąt 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5400000">
                          <a:off x="0" y="0"/>
                          <a:ext cx="1835148" cy="10069198"/>
                        </a:xfrm>
                        <a:prstGeom prst="rect">
                          <a:avLst/>
                        </a:prstGeom>
                        <a:solidFill>
                          <a:srgbClr val="041A86"/>
                        </a:solidFill>
                        <a:ln w="76200">
                          <a:solidFill>
                            <a:srgbClr val="041A8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DCD8FC" id="Prostokąt 13" o:spid="_x0000_s1026" alt="&quot;&quot;" style="position:absolute;margin-left:197.85pt;margin-top:-114.9pt;width:144.5pt;height:792.85pt;rotation:90;z-index:25165619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" fillcolor="#041a86" strokecolor="#041a86" strokeweight="6pt">
                <w10:wrap anchorx="margin"/>
              </v:rect>
            </w:pict>
          </mc:Fallback>
        </mc:AlternateContent>
      </w:r>
    </w:p>
    <w:p w14:paraId="5F524EC8" w14:textId="49E8CBBA" w:rsidR="0021507A" w:rsidRDefault="0021507A" w:rsidP="0021507A">
      <w:pPr>
        <w:rPr>
          <w:sz w:val="40"/>
          <w:szCs w:val="40"/>
        </w:rPr>
      </w:pPr>
    </w:p>
    <w:p w14:paraId="73A53DFF" w14:textId="77777777" w:rsidR="0021507A" w:rsidRDefault="0021507A" w:rsidP="0021507A">
      <w:pPr>
        <w:rPr>
          <w:sz w:val="40"/>
          <w:szCs w:val="40"/>
        </w:rPr>
      </w:pPr>
    </w:p>
    <w:p w14:paraId="25485CB2" w14:textId="005BED98" w:rsidR="0021507A" w:rsidRDefault="003F3831" w:rsidP="0021507A">
      <w:pPr>
        <w:rPr>
          <w:sz w:val="40"/>
          <w:szCs w:val="40"/>
        </w:rPr>
      </w:pPr>
      <w:r>
        <w:rPr>
          <w:noProof/>
          <w:sz w:val="14"/>
        </w:rPr>
        <mc:AlternateContent>
          <mc:Choice Requires="wpg">
            <w:drawing>
              <wp:anchor distT="0" distB="0" distL="114300" distR="114300" simplePos="0" relativeHeight="251658254" behindDoc="0" locked="0" layoutInCell="1" allowOverlap="1" wp14:anchorId="21C4C498" wp14:editId="5F690474">
                <wp:simplePos x="0" y="0"/>
                <wp:positionH relativeFrom="column">
                  <wp:posOffset>-3300730</wp:posOffset>
                </wp:positionH>
                <wp:positionV relativeFrom="paragraph">
                  <wp:posOffset>344170</wp:posOffset>
                </wp:positionV>
                <wp:extent cx="12422505" cy="8041640"/>
                <wp:effectExtent l="990600" t="381000" r="969645" b="588010"/>
                <wp:wrapNone/>
                <wp:docPr id="735309756" name="Grupa 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2422505" cy="8041640"/>
                          <a:chOff x="0" y="1494543"/>
                          <a:chExt cx="12423119" cy="8042019"/>
                        </a:xfrm>
                      </wpg:grpSpPr>
                      <wps:wsp>
                        <wps:cNvPr id="92082063" name="Pole tekstowe 2">
                          <a:extLst>
                            <a:ext uri="{C183D7F6-B498-43B3-948B-1728B52AA6E4}">
                              <adec:decorative xmlns:adec="http://schemas.microsoft.com/office/drawing/2017/decorative" val="1"/>
                            </a:ext>
                          </a:extLst>
                        </wps:cNvPr>
                        <wps:cNvSpPr txBox="1">
                          <a:spLocks noChangeArrowheads="1"/>
                        </wps:cNvSpPr>
                        <wps:spPr bwMode="auto">
                          <a:xfrm>
                            <a:off x="2950487" y="2948070"/>
                            <a:ext cx="6269989" cy="1701799"/>
                          </a:xfrm>
                          <a:prstGeom prst="rect">
                            <a:avLst/>
                          </a:prstGeom>
                          <a:noFill/>
                          <a:ln w="9525">
                            <a:noFill/>
                            <a:miter lim="800000"/>
                            <a:headEnd/>
                            <a:tailEnd/>
                          </a:ln>
                        </wps:spPr>
                        <wps:txbx>
                          <w:txbxContent>
                            <w:p w14:paraId="44E497EA" w14:textId="5DCF2051" w:rsidR="0021507A" w:rsidRPr="00412383" w:rsidRDefault="0021507A" w:rsidP="0021507A">
                              <w:pPr>
                                <w:jc w:val="left"/>
                                <w:rPr>
                                  <w:color w:val="FFFFFF" w:themeColor="background1"/>
                                </w:rPr>
                              </w:pPr>
                              <w:r w:rsidRPr="00412383">
                                <w:rPr>
                                  <w:rFonts w:asciiTheme="majorHAnsi" w:hAnsiTheme="majorHAnsi" w:cstheme="majorHAnsi"/>
                                  <w:b/>
                                  <w:bCs/>
                                  <w:color w:val="FFFFFF" w:themeColor="background1"/>
                                  <w:sz w:val="40"/>
                                  <w:szCs w:val="40"/>
                                </w:rPr>
                                <w:t xml:space="preserve">OCENA WPŁYWU REALIZACJI POLITYKI SPÓJNOŚCI </w:t>
                              </w:r>
                              <w:r w:rsidRPr="00412383">
                                <w:rPr>
                                  <w:rFonts w:asciiTheme="majorHAnsi" w:hAnsiTheme="majorHAnsi" w:cstheme="majorHAnsi"/>
                                  <w:b/>
                                  <w:bCs/>
                                  <w:color w:val="FFFFFF" w:themeColor="background1"/>
                                  <w:sz w:val="40"/>
                                  <w:szCs w:val="40"/>
                                </w:rPr>
                                <w:br/>
                              </w:r>
                              <w:r w:rsidR="000F3F4B">
                                <w:rPr>
                                  <w:rFonts w:asciiTheme="majorHAnsi" w:hAnsiTheme="majorHAnsi" w:cstheme="majorHAnsi"/>
                                  <w:b/>
                                  <w:bCs/>
                                  <w:color w:val="FFFFFF" w:themeColor="background1"/>
                                  <w:sz w:val="40"/>
                                  <w:szCs w:val="40"/>
                                </w:rPr>
                                <w:t>(</w:t>
                              </w:r>
                              <w:r w:rsidRPr="00412383">
                                <w:rPr>
                                  <w:rFonts w:asciiTheme="majorHAnsi" w:hAnsiTheme="majorHAnsi" w:cstheme="majorHAnsi"/>
                                  <w:b/>
                                  <w:bCs/>
                                  <w:color w:val="FFFFFF" w:themeColor="background1"/>
                                  <w:sz w:val="40"/>
                                  <w:szCs w:val="40"/>
                                </w:rPr>
                                <w:t>I INNYCH INSTRUMENTÓW</w:t>
                              </w:r>
                              <w:r w:rsidR="000F3F4B">
                                <w:rPr>
                                  <w:rFonts w:asciiTheme="majorHAnsi" w:hAnsiTheme="majorHAnsi" w:cstheme="majorHAnsi"/>
                                  <w:b/>
                                  <w:bCs/>
                                  <w:color w:val="FFFFFF" w:themeColor="background1"/>
                                  <w:sz w:val="40"/>
                                  <w:szCs w:val="40"/>
                                </w:rPr>
                                <w:t>)</w:t>
                              </w:r>
                              <w:r w:rsidRPr="00412383">
                                <w:rPr>
                                  <w:rFonts w:asciiTheme="majorHAnsi" w:hAnsiTheme="majorHAnsi" w:cstheme="majorHAnsi"/>
                                  <w:b/>
                                  <w:bCs/>
                                  <w:color w:val="FFFFFF" w:themeColor="background1"/>
                                  <w:sz w:val="40"/>
                                  <w:szCs w:val="40"/>
                                </w:rPr>
                                <w:t xml:space="preserve"> NA KSZTAŁTOWANIE SIĘ WYBRANYCH WSKAŹNIKÓW MAKROEKONOMICZNYCH </w:t>
                              </w:r>
                              <w:r>
                                <w:rPr>
                                  <w:rFonts w:asciiTheme="majorHAnsi" w:hAnsiTheme="majorHAnsi" w:cstheme="majorHAnsi"/>
                                  <w:b/>
                                  <w:bCs/>
                                  <w:color w:val="FFFFFF" w:themeColor="background1"/>
                                  <w:sz w:val="40"/>
                                  <w:szCs w:val="40"/>
                                </w:rPr>
                                <w:br/>
                              </w:r>
                              <w:r w:rsidRPr="00412383">
                                <w:rPr>
                                  <w:rFonts w:asciiTheme="majorHAnsi" w:hAnsiTheme="majorHAnsi" w:cstheme="majorHAnsi"/>
                                  <w:b/>
                                  <w:bCs/>
                                  <w:color w:val="FFFFFF" w:themeColor="background1"/>
                                  <w:sz w:val="40"/>
                                  <w:szCs w:val="40"/>
                                </w:rPr>
                                <w:t>NA POZIOMIE KRAJOWYM I REGIONALNYM ZA POMOCĄ MODELU VESPA</w:t>
                              </w:r>
                            </w:p>
                          </w:txbxContent>
                        </wps:txbx>
                        <wps:bodyPr rot="0" vert="horz" wrap="square" lIns="91440" tIns="45720" rIns="91440" bIns="45720" anchor="t" anchorCtr="0">
                          <a:spAutoFit/>
                        </wps:bodyPr>
                      </wps:wsp>
                      <wpg:grpSp>
                        <wpg:cNvPr id="1913263668" name="Grupa 13"/>
                        <wpg:cNvGrpSpPr/>
                        <wpg:grpSpPr>
                          <a:xfrm>
                            <a:off x="0" y="1494543"/>
                            <a:ext cx="12423119" cy="8042019"/>
                            <a:chOff x="0" y="1494543"/>
                            <a:chExt cx="12423119" cy="8042019"/>
                          </a:xfrm>
                        </wpg:grpSpPr>
                        <wps:wsp>
                          <wps:cNvPr id="840255732" name="Prostokąt 840255732">
                            <a:extLst>
                              <a:ext uri="{C183D7F6-B498-43B3-948B-1728B52AA6E4}">
                                <adec:decorative xmlns:adec="http://schemas.microsoft.com/office/drawing/2017/decorative" val="1"/>
                              </a:ext>
                            </a:extLst>
                          </wps:cNvPr>
                          <wps:cNvSpPr/>
                          <wps:spPr>
                            <a:xfrm rot="3556528">
                              <a:off x="-949440" y="3019425"/>
                              <a:ext cx="4303013" cy="2404133"/>
                            </a:xfrm>
                            <a:prstGeom prst="rect">
                              <a:avLst/>
                            </a:prstGeom>
                            <a:noFill/>
                            <a:ln w="76200">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1618986" name="Prostokąt 681618986">
                            <a:extLst>
                              <a:ext uri="{C183D7F6-B498-43B3-948B-1728B52AA6E4}">
                                <adec:decorative xmlns:adec="http://schemas.microsoft.com/office/drawing/2017/decorative" val="1"/>
                              </a:ext>
                            </a:extLst>
                          </wps:cNvPr>
                          <wps:cNvSpPr/>
                          <wps:spPr>
                            <a:xfrm rot="3556528">
                              <a:off x="6898426" y="3625752"/>
                              <a:ext cx="415072" cy="8190970"/>
                            </a:xfrm>
                            <a:prstGeom prst="rect">
                              <a:avLst/>
                            </a:prstGeom>
                            <a:solidFill>
                              <a:srgbClr val="041A86"/>
                            </a:solidFill>
                            <a:ln>
                              <a:solidFill>
                                <a:srgbClr val="041A8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747528280" name="Obraz 806086425">
                              <a:extLst>
                                <a:ext uri="{C183D7F6-B498-43B3-948B-1728B52AA6E4}">
                                  <adec:decorative xmlns:adec="http://schemas.microsoft.com/office/drawing/2017/decorative" val="1"/>
                                </a:ext>
                              </a:extLst>
                            </pic:cNvPr>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8461588" y="8702566"/>
                              <a:ext cx="1215390" cy="745490"/>
                            </a:xfrm>
                            <a:prstGeom prst="rect">
                              <a:avLst/>
                            </a:prstGeom>
                            <a:noFill/>
                            <a:ln>
                              <a:noFill/>
                            </a:ln>
                          </pic:spPr>
                        </pic:pic>
                        <pic:pic xmlns:pic="http://schemas.openxmlformats.org/drawingml/2006/picture">
                          <pic:nvPicPr>
                            <pic:cNvPr id="209939421" name="Obraz 461596616">
                              <a:extLst>
                                <a:ext uri="{C183D7F6-B498-43B3-948B-1728B52AA6E4}">
                                  <adec:decorative xmlns:adec="http://schemas.microsoft.com/office/drawing/2017/decorative" val="1"/>
                                </a:ext>
                              </a:extLst>
                            </pic:cNvPr>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7279174" y="8576442"/>
                              <a:ext cx="1029335" cy="960120"/>
                            </a:xfrm>
                            <a:prstGeom prst="rect">
                              <a:avLst/>
                            </a:prstGeom>
                          </pic:spPr>
                        </pic:pic>
                        <wps:wsp>
                          <wps:cNvPr id="346816014" name="Prostokąt 346816014">
                            <a:extLst>
                              <a:ext uri="{C183D7F6-B498-43B3-948B-1728B52AA6E4}">
                                <adec:decorative xmlns:adec="http://schemas.microsoft.com/office/drawing/2017/decorative" val="1"/>
                              </a:ext>
                            </a:extLst>
                          </wps:cNvPr>
                          <wps:cNvSpPr/>
                          <wps:spPr>
                            <a:xfrm rot="3556528">
                              <a:off x="9069546" y="2443983"/>
                              <a:ext cx="4303013" cy="2404133"/>
                            </a:xfrm>
                            <a:prstGeom prst="rect">
                              <a:avLst/>
                            </a:prstGeom>
                            <a:noFill/>
                            <a:ln w="76200">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5649356" name="Prostokąt 725649356">
                            <a:extLst>
                              <a:ext uri="{C183D7F6-B498-43B3-948B-1728B52AA6E4}">
                                <adec:decorative xmlns:adec="http://schemas.microsoft.com/office/drawing/2017/decorative" val="1"/>
                              </a:ext>
                            </a:extLst>
                          </wps:cNvPr>
                          <wps:cNvSpPr/>
                          <wps:spPr>
                            <a:xfrm rot="5400000">
                              <a:off x="8457833" y="2739445"/>
                              <a:ext cx="45719" cy="3838893"/>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918967" name="Prostokąt 94918967">
                            <a:extLst>
                              <a:ext uri="{C183D7F6-B498-43B3-948B-1728B52AA6E4}">
                                <adec:decorative xmlns:adec="http://schemas.microsoft.com/office/drawing/2017/decorative" val="1"/>
                              </a:ext>
                            </a:extLst>
                          </wps:cNvPr>
                          <wps:cNvSpPr/>
                          <wps:spPr>
                            <a:xfrm rot="5400000">
                              <a:off x="4468204" y="436727"/>
                              <a:ext cx="45719" cy="4184967"/>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0794217" name="Strzałka: w prawo 140794217">
                            <a:extLst>
                              <a:ext uri="{C183D7F6-B498-43B3-948B-1728B52AA6E4}">
                                <adec:decorative xmlns:adec="http://schemas.microsoft.com/office/drawing/2017/decorative" val="1"/>
                              </a:ext>
                            </a:extLst>
                          </wps:cNvPr>
                          <wps:cNvSpPr/>
                          <wps:spPr>
                            <a:xfrm rot="19791038">
                              <a:off x="1477464" y="7714593"/>
                              <a:ext cx="6881688" cy="242412"/>
                            </a:xfrm>
                            <a:prstGeom prst="rightArrow">
                              <a:avLst/>
                            </a:prstGeom>
                            <a:solidFill>
                              <a:srgbClr val="041A86"/>
                            </a:solidFill>
                            <a:ln>
                              <a:solidFill>
                                <a:srgbClr val="041A8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25302517" name="Strzałka: w prawo 1725302517">
                            <a:extLst>
                              <a:ext uri="{C183D7F6-B498-43B3-948B-1728B52AA6E4}">
                                <adec:decorative xmlns:adec="http://schemas.microsoft.com/office/drawing/2017/decorative" val="1"/>
                              </a:ext>
                            </a:extLst>
                          </wps:cNvPr>
                          <wps:cNvSpPr/>
                          <wps:spPr>
                            <a:xfrm rot="19791038">
                              <a:off x="1240981" y="7716564"/>
                              <a:ext cx="8304512" cy="436082"/>
                            </a:xfrm>
                            <a:prstGeom prst="rightArrow">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543325855" name="Obraz 2">
                              <a:extLst>
                                <a:ext uri="{C183D7F6-B498-43B3-948B-1728B52AA6E4}">
                                  <adec:decorative xmlns:adec="http://schemas.microsoft.com/office/drawing/2017/decorative" val="1"/>
                                </a:ext>
                              </a:extLst>
                            </pic:cNvPr>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7263409" y="7756635"/>
                              <a:ext cx="2092325" cy="657860"/>
                            </a:xfrm>
                            <a:prstGeom prst="rect">
                              <a:avLst/>
                            </a:prstGeom>
                            <a:noFill/>
                          </pic:spPr>
                        </pic:pic>
                        <wps:wsp>
                          <wps:cNvPr id="677397665" name="Pole tekstowe 2">
                            <a:extLst>
                              <a:ext uri="{C183D7F6-B498-43B3-948B-1728B52AA6E4}">
                                <adec:decorative xmlns:adec="http://schemas.microsoft.com/office/drawing/2017/decorative" val="1"/>
                              </a:ext>
                            </a:extLst>
                          </wps:cNvPr>
                          <wps:cNvSpPr txBox="1">
                            <a:spLocks noChangeArrowheads="1"/>
                          </wps:cNvSpPr>
                          <wps:spPr bwMode="auto">
                            <a:xfrm>
                              <a:off x="7641781" y="8450317"/>
                              <a:ext cx="1572895" cy="307975"/>
                            </a:xfrm>
                            <a:prstGeom prst="rect">
                              <a:avLst/>
                            </a:prstGeom>
                            <a:noFill/>
                            <a:ln w="9525">
                              <a:noFill/>
                              <a:miter lim="800000"/>
                              <a:headEnd/>
                              <a:tailEnd/>
                            </a:ln>
                          </wps:spPr>
                          <wps:txbx>
                            <w:txbxContent>
                              <w:p w14:paraId="10A4C4CD" w14:textId="77777777" w:rsidR="0021507A" w:rsidRPr="00637918" w:rsidRDefault="0021507A" w:rsidP="0021507A">
                                <w:pPr>
                                  <w:rPr>
                                    <w:b/>
                                    <w:bCs/>
                                    <w:color w:val="00112B" w:themeColor="accent1" w:themeShade="80"/>
                                    <w:sz w:val="24"/>
                                    <w:szCs w:val="24"/>
                                  </w:rPr>
                                </w:pPr>
                                <w:r w:rsidRPr="00637918">
                                  <w:rPr>
                                    <w:b/>
                                    <w:bCs/>
                                    <w:color w:val="00112B" w:themeColor="accent1" w:themeShade="80"/>
                                    <w:sz w:val="24"/>
                                    <w:szCs w:val="24"/>
                                  </w:rPr>
                                  <w:t>Wykonawcy badania:</w:t>
                                </w:r>
                              </w:p>
                            </w:txbxContent>
                          </wps:txbx>
                          <wps:bodyPr rot="0" vert="horz" wrap="square" lIns="91440" tIns="45720" rIns="91440" bIns="45720" anchor="t" anchorCtr="0">
                            <a:noAutofit/>
                          </wps:bodyPr>
                        </wps:wsp>
                      </wpg:grpSp>
                    </wpg:wgp>
                  </a:graphicData>
                </a:graphic>
                <wp14:sizeRelV relativeFrom="margin">
                  <wp14:pctHeight>0</wp14:pctHeight>
                </wp14:sizeRelV>
              </wp:anchor>
            </w:drawing>
          </mc:Choice>
          <mc:Fallback>
            <w:pict>
              <v:group w14:anchorId="21C4C498" id="Grupa 14" o:spid="_x0000_s1026" alt="&quot;&quot;" style="position:absolute;left:0;text-align:left;margin-left:-259.9pt;margin-top:27.1pt;width:978.15pt;height:633.2pt;z-index:251658254;mso-height-relative:margin" coordorigin=",14945" coordsize="124231,8042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">
                <v:shapetype id="_x0000_t202" coordsize="21600,21600" o:spt="202" path="m,l,21600r21600,l21600,xe">
                  <v:stroke joinstyle="miter"/>
                  <v:path gradientshapeok="t" o:connecttype="rect"/>
                </v:shapetype>
                <v:shape id="Pole tekstowe 2" o:spid="_x0000_s1027" type="#_x0000_t202" alt="&quot;&quot;" style="position:absolute;left:29504;top:29480;width:62700;height:170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" filled="f" stroked="f">
                  <v:textbox style="mso-fit-shape-to-text:t">
                    <w:txbxContent>
                      <w:p w14:paraId="44E497EA" w14:textId="5DCF2051" w:rsidR="0021507A" w:rsidRPr="00412383" w:rsidRDefault="0021507A" w:rsidP="0021507A">
                        <w:pPr>
                          <w:jc w:val="left"/>
                          <w:rPr>
                            <w:color w:val="FFFFFF" w:themeColor="background1"/>
                          </w:rPr>
                        </w:pPr>
                        <w:r w:rsidRPr="00412383">
                          <w:rPr>
                            <w:rFonts w:asciiTheme="majorHAnsi" w:hAnsiTheme="majorHAnsi" w:cstheme="majorHAnsi"/>
                            <w:b/>
                            <w:bCs/>
                            <w:color w:val="FFFFFF" w:themeColor="background1"/>
                            <w:sz w:val="40"/>
                            <w:szCs w:val="40"/>
                          </w:rPr>
                          <w:t xml:space="preserve">OCENA WPŁYWU REALIZACJI POLITYKI SPÓJNOŚCI </w:t>
                        </w:r>
                        <w:r w:rsidRPr="00412383">
                          <w:rPr>
                            <w:rFonts w:asciiTheme="majorHAnsi" w:hAnsiTheme="majorHAnsi" w:cstheme="majorHAnsi"/>
                            <w:b/>
                            <w:bCs/>
                            <w:color w:val="FFFFFF" w:themeColor="background1"/>
                            <w:sz w:val="40"/>
                            <w:szCs w:val="40"/>
                          </w:rPr>
                          <w:br/>
                        </w:r>
                        <w:r w:rsidR="000F3F4B">
                          <w:rPr>
                            <w:rFonts w:asciiTheme="majorHAnsi" w:hAnsiTheme="majorHAnsi" w:cstheme="majorHAnsi"/>
                            <w:b/>
                            <w:bCs/>
                            <w:color w:val="FFFFFF" w:themeColor="background1"/>
                            <w:sz w:val="40"/>
                            <w:szCs w:val="40"/>
                          </w:rPr>
                          <w:t>(</w:t>
                        </w:r>
                        <w:r w:rsidRPr="00412383">
                          <w:rPr>
                            <w:rFonts w:asciiTheme="majorHAnsi" w:hAnsiTheme="majorHAnsi" w:cstheme="majorHAnsi"/>
                            <w:b/>
                            <w:bCs/>
                            <w:color w:val="FFFFFF" w:themeColor="background1"/>
                            <w:sz w:val="40"/>
                            <w:szCs w:val="40"/>
                          </w:rPr>
                          <w:t>I INNYCH INSTRUMENTÓW</w:t>
                        </w:r>
                        <w:r w:rsidR="000F3F4B">
                          <w:rPr>
                            <w:rFonts w:asciiTheme="majorHAnsi" w:hAnsiTheme="majorHAnsi" w:cstheme="majorHAnsi"/>
                            <w:b/>
                            <w:bCs/>
                            <w:color w:val="FFFFFF" w:themeColor="background1"/>
                            <w:sz w:val="40"/>
                            <w:szCs w:val="40"/>
                          </w:rPr>
                          <w:t>)</w:t>
                        </w:r>
                        <w:r w:rsidRPr="00412383">
                          <w:rPr>
                            <w:rFonts w:asciiTheme="majorHAnsi" w:hAnsiTheme="majorHAnsi" w:cstheme="majorHAnsi"/>
                            <w:b/>
                            <w:bCs/>
                            <w:color w:val="FFFFFF" w:themeColor="background1"/>
                            <w:sz w:val="40"/>
                            <w:szCs w:val="40"/>
                          </w:rPr>
                          <w:t xml:space="preserve"> NA KSZTAŁTOWANIE SIĘ WYBRANYCH WSKAŹNIKÓW MAKROEKONOMICZNYCH </w:t>
                        </w:r>
                        <w:r>
                          <w:rPr>
                            <w:rFonts w:asciiTheme="majorHAnsi" w:hAnsiTheme="majorHAnsi" w:cstheme="majorHAnsi"/>
                            <w:b/>
                            <w:bCs/>
                            <w:color w:val="FFFFFF" w:themeColor="background1"/>
                            <w:sz w:val="40"/>
                            <w:szCs w:val="40"/>
                          </w:rPr>
                          <w:br/>
                        </w:r>
                        <w:r w:rsidRPr="00412383">
                          <w:rPr>
                            <w:rFonts w:asciiTheme="majorHAnsi" w:hAnsiTheme="majorHAnsi" w:cstheme="majorHAnsi"/>
                            <w:b/>
                            <w:bCs/>
                            <w:color w:val="FFFFFF" w:themeColor="background1"/>
                            <w:sz w:val="40"/>
                            <w:szCs w:val="40"/>
                          </w:rPr>
                          <w:t>NA POZIOMIE KRAJOWYM I REGIONALNYM ZA POMOCĄ MODELU VESPA</w:t>
                        </w:r>
                      </w:p>
                    </w:txbxContent>
                  </v:textbox>
                </v:shape>
                <v:group id="Grupa 13" o:spid="_x0000_s1028" style="position:absolute;top:14945;width:124231;height:80420" coordorigin=",14945" coordsize="124231,80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">
                  <v:rect id="Prostokąt 840255732" o:spid="_x0000_s1029" alt="&quot;&quot;" style="position:absolute;left:-9494;top:30193;width:43030;height:24041;rotation:388467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" filled="f" strokecolor="#f8981d [3205]" strokeweight="6pt"/>
                  <v:rect id="Prostokąt 681618986" o:spid="_x0000_s1030" alt="&quot;&quot;" style="position:absolute;left:68984;top:36257;width:4150;height:81910;rotation:388467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" fillcolor="#041a86" strokecolor="#041a86"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806086425" o:spid="_x0000_s1031" type="#_x0000_t75" alt="&quot;&quot;" style="position:absolute;left:84615;top:87025;width:12154;height:74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">
                    <v:imagedata r:id="rId15" o:title=""/>
                  </v:shape>
                  <v:shape id="Obraz 461596616" o:spid="_x0000_s1032" type="#_x0000_t75" alt="&quot;&quot;" style="position:absolute;left:72791;top:85764;width:10294;height:96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">
                    <v:imagedata r:id="rId16" o:title=""/>
                  </v:shape>
                  <v:rect id="Prostokąt 346816014" o:spid="_x0000_s1033" alt="&quot;&quot;" style="position:absolute;left:90695;top:24439;width:43030;height:24042;rotation:388467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" filled="f" strokecolor="#f8981d [3205]" strokeweight="6pt"/>
                  <v:rect id="Prostokąt 725649356" o:spid="_x0000_s1034" alt="&quot;&quot;" style="position:absolute;left:84578;top:27394;width:457;height:3838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" fillcolor="#f8981d [3205]" stroked="f" strokeweight="1pt"/>
                  <v:rect id="Prostokąt 94918967" o:spid="_x0000_s1035" alt="&quot;&quot;" style="position:absolute;left:44681;top:4367;width:457;height:4185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" fillcolor="#f8981d [3205]" stroked="f" strokeweight="1p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Strzałka: w prawo 140794217" o:spid="_x0000_s1036" type="#_x0000_t13" alt="&quot;&quot;" style="position:absolute;left:14774;top:77145;width:68817;height:2425;rotation:-1975869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" adj="21220" fillcolor="#041a86" strokecolor="#041a86" strokeweight="1pt"/>
                  <v:shape id="Strzałka: w prawo 1725302517" o:spid="_x0000_s1037" type="#_x0000_t13" alt="&quot;&quot;" style="position:absolute;left:12409;top:77165;width:83045;height:4361;rotation:-1975869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" adj="21033" fillcolor="#f8981d [3205]" stroked="f" strokeweight="1pt"/>
                  <v:shape id="Obraz 2" o:spid="_x0000_s1038" type="#_x0000_t75" alt="&quot;&quot;" style="position:absolute;left:72634;top:77566;width:20923;height:65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">
                    <v:imagedata r:id="rId17" o:title=""/>
                  </v:shape>
                  <v:shape id="Pole tekstowe 2" o:spid="_x0000_s1039" type="#_x0000_t202" alt="&quot;&quot;" style="position:absolute;left:76417;top:84503;width:15729;height:3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" filled="f" stroked="f">
                    <v:textbox>
                      <w:txbxContent>
                        <w:p w14:paraId="10A4C4CD" w14:textId="77777777" w:rsidR="0021507A" w:rsidRPr="00637918" w:rsidRDefault="0021507A" w:rsidP="0021507A">
                          <w:pPr>
                            <w:rPr>
                              <w:b/>
                              <w:bCs/>
                              <w:color w:val="00112B" w:themeColor="accent1" w:themeShade="80"/>
                              <w:sz w:val="24"/>
                              <w:szCs w:val="24"/>
                            </w:rPr>
                          </w:pPr>
                          <w:r w:rsidRPr="00637918">
                            <w:rPr>
                              <w:b/>
                              <w:bCs/>
                              <w:color w:val="00112B" w:themeColor="accent1" w:themeShade="80"/>
                              <w:sz w:val="24"/>
                              <w:szCs w:val="24"/>
                            </w:rPr>
                            <w:t>Wykonawcy badania:</w:t>
                          </w:r>
                        </w:p>
                      </w:txbxContent>
                    </v:textbox>
                  </v:shape>
                </v:group>
              </v:group>
            </w:pict>
          </mc:Fallback>
        </mc:AlternateContent>
      </w:r>
    </w:p>
    <w:p w14:paraId="6418D248" w14:textId="77777777" w:rsidR="0021507A" w:rsidRDefault="0021507A" w:rsidP="0021507A">
      <w:pPr>
        <w:rPr>
          <w:sz w:val="40"/>
          <w:szCs w:val="40"/>
        </w:rPr>
      </w:pPr>
    </w:p>
    <w:p w14:paraId="27480826" w14:textId="79B6610F" w:rsidR="0021507A" w:rsidRPr="0021507A" w:rsidRDefault="0021507A" w:rsidP="0021507A">
      <w:pPr>
        <w:rPr>
          <w:rFonts w:asciiTheme="majorHAnsi" w:hAnsiTheme="majorHAnsi" w:cstheme="majorHAnsi"/>
          <w:b/>
          <w:bCs/>
          <w:color w:val="041A86"/>
          <w:sz w:val="44"/>
          <w:szCs w:val="44"/>
        </w:rPr>
      </w:pPr>
      <w:r w:rsidRPr="0021507A">
        <w:rPr>
          <w:rFonts w:asciiTheme="majorHAnsi" w:hAnsiTheme="majorHAnsi" w:cstheme="majorHAnsi"/>
          <w:b/>
          <w:bCs/>
          <w:color w:val="041A86"/>
          <w:sz w:val="44"/>
          <w:szCs w:val="44"/>
        </w:rPr>
        <w:t xml:space="preserve">RAPORT </w:t>
      </w:r>
      <w:r w:rsidRPr="0054597F">
        <w:rPr>
          <w:rFonts w:asciiTheme="majorHAnsi" w:hAnsiTheme="majorHAnsi" w:cstheme="majorHAnsi"/>
          <w:b/>
          <w:bCs/>
          <w:color w:val="041A86"/>
          <w:sz w:val="44"/>
          <w:szCs w:val="44"/>
        </w:rPr>
        <w:t>KOŃCOWY</w:t>
      </w:r>
    </w:p>
    <w:p w14:paraId="116D542D" w14:textId="6F071FFA" w:rsidR="0021507A" w:rsidRDefault="0021507A" w:rsidP="0021507A">
      <w:pPr>
        <w:rPr>
          <w:sz w:val="40"/>
          <w:szCs w:val="40"/>
        </w:rPr>
      </w:pPr>
    </w:p>
    <w:p w14:paraId="2A4308EF" w14:textId="76F19976" w:rsidR="0021507A" w:rsidRDefault="0021507A" w:rsidP="0021507A">
      <w:pPr>
        <w:rPr>
          <w:sz w:val="40"/>
          <w:szCs w:val="40"/>
        </w:rPr>
      </w:pPr>
    </w:p>
    <w:p w14:paraId="68BA7058" w14:textId="77777777" w:rsidR="0021507A" w:rsidRDefault="0021507A" w:rsidP="0021507A">
      <w:pPr>
        <w:rPr>
          <w:sz w:val="40"/>
          <w:szCs w:val="40"/>
        </w:rPr>
      </w:pPr>
      <w:r>
        <w:rPr>
          <w:noProof/>
          <w:sz w:val="14"/>
          <w:szCs w:val="14"/>
        </w:rPr>
        <w:t xml:space="preserve"> </w:t>
      </w:r>
    </w:p>
    <w:p w14:paraId="5374D0A9" w14:textId="0D3D9C77" w:rsidR="0021507A" w:rsidRDefault="0021507A" w:rsidP="0021507A">
      <w:pPr>
        <w:rPr>
          <w:sz w:val="40"/>
          <w:szCs w:val="40"/>
        </w:rPr>
      </w:pPr>
    </w:p>
    <w:p w14:paraId="4375C46D" w14:textId="77777777" w:rsidR="0021507A" w:rsidRPr="004F1A25" w:rsidRDefault="0021507A" w:rsidP="0021507A">
      <w:pPr>
        <w:rPr>
          <w:rFonts w:asciiTheme="majorHAnsi" w:hAnsiTheme="majorHAnsi" w:cstheme="majorHAnsi"/>
          <w:b/>
          <w:bCs/>
          <w:sz w:val="40"/>
          <w:szCs w:val="40"/>
        </w:rPr>
      </w:pPr>
    </w:p>
    <w:p w14:paraId="17FD6C0E" w14:textId="77777777" w:rsidR="0021507A" w:rsidRDefault="0021507A" w:rsidP="0021507A">
      <w:pPr>
        <w:rPr>
          <w:sz w:val="40"/>
          <w:szCs w:val="40"/>
        </w:rPr>
      </w:pPr>
    </w:p>
    <w:p w14:paraId="4C2F7A42" w14:textId="5926D977" w:rsidR="00AD7399" w:rsidRPr="0021507A" w:rsidRDefault="0021507A" w:rsidP="0021507A">
      <w:pPr>
        <w:rPr>
          <w:rFonts w:asciiTheme="minorHAnsi" w:hAnsiTheme="minorHAnsi" w:cstheme="minorHAnsi"/>
          <w:b/>
          <w:bCs/>
        </w:rPr>
      </w:pPr>
      <w:r>
        <w:rPr>
          <w:sz w:val="40"/>
          <w:szCs w:val="40"/>
        </w:rPr>
        <w:br/>
      </w:r>
      <w:r>
        <w:rPr>
          <w:sz w:val="40"/>
          <w:szCs w:val="40"/>
        </w:rPr>
        <w:br/>
      </w:r>
      <w:r>
        <w:rPr>
          <w:sz w:val="40"/>
          <w:szCs w:val="40"/>
        </w:rPr>
        <w:br/>
      </w:r>
      <w:r>
        <w:rPr>
          <w:sz w:val="40"/>
          <w:szCs w:val="40"/>
        </w:rPr>
        <w:br/>
      </w:r>
      <w:r>
        <w:rPr>
          <w:sz w:val="40"/>
          <w:szCs w:val="40"/>
        </w:rPr>
        <w:br/>
      </w:r>
      <w:r>
        <w:rPr>
          <w:sz w:val="40"/>
          <w:szCs w:val="40"/>
        </w:rPr>
        <w:br/>
      </w:r>
      <w:r>
        <w:rPr>
          <w:sz w:val="24"/>
          <w:szCs w:val="24"/>
        </w:rPr>
        <w:br/>
      </w:r>
      <w:r>
        <w:rPr>
          <w:sz w:val="24"/>
          <w:szCs w:val="24"/>
        </w:rPr>
        <w:br/>
      </w:r>
    </w:p>
    <w:p w14:paraId="54720A45" w14:textId="37EA2E14" w:rsidR="00AD7399" w:rsidRPr="00471B0B" w:rsidRDefault="00AD7399" w:rsidP="00AD7399">
      <w:pPr>
        <w:pStyle w:val="Default"/>
        <w:rPr>
          <w:rFonts w:asciiTheme="minorHAnsi" w:hAnsiTheme="minorHAnsi" w:cstheme="minorHAnsi"/>
        </w:rPr>
      </w:pPr>
      <w:r w:rsidRPr="00471B0B">
        <w:rPr>
          <w:rFonts w:asciiTheme="minorHAnsi" w:hAnsiTheme="minorHAnsi" w:cstheme="minorHAnsi"/>
        </w:rPr>
        <w:br w:type="page"/>
      </w:r>
    </w:p>
    <w:p w14:paraId="6B58A78C" w14:textId="77777777" w:rsidR="008038E2" w:rsidRPr="007E0234" w:rsidRDefault="008038E2" w:rsidP="008038E2">
      <w:pPr>
        <w:spacing w:line="276" w:lineRule="auto"/>
        <w:rPr>
          <w:rFonts w:ascii="Calibri Light" w:hAnsi="Calibri Light"/>
          <w:sz w:val="24"/>
          <w:szCs w:val="24"/>
        </w:rPr>
      </w:pPr>
    </w:p>
    <w:p w14:paraId="4320A77C" w14:textId="77777777" w:rsidR="008038E2" w:rsidRPr="007E0234" w:rsidRDefault="008038E2" w:rsidP="008038E2">
      <w:pPr>
        <w:spacing w:line="276" w:lineRule="auto"/>
        <w:rPr>
          <w:rFonts w:ascii="Calibri Light" w:hAnsi="Calibri Light"/>
          <w:sz w:val="24"/>
          <w:szCs w:val="24"/>
        </w:rPr>
      </w:pPr>
    </w:p>
    <w:p w14:paraId="56C6232D" w14:textId="77777777" w:rsidR="008038E2" w:rsidRPr="007E0234" w:rsidRDefault="008038E2" w:rsidP="008038E2">
      <w:pPr>
        <w:spacing w:line="276" w:lineRule="auto"/>
        <w:rPr>
          <w:rFonts w:ascii="Calibri Light" w:hAnsi="Calibri Light"/>
          <w:b/>
          <w:bCs/>
        </w:rPr>
      </w:pPr>
    </w:p>
    <w:p w14:paraId="0A405B1B" w14:textId="77777777" w:rsidR="008038E2" w:rsidRDefault="008038E2" w:rsidP="008038E2">
      <w:pPr>
        <w:spacing w:line="276" w:lineRule="auto"/>
        <w:rPr>
          <w:rFonts w:ascii="Calibri Light" w:hAnsi="Calibri Light"/>
          <w:b/>
          <w:bCs/>
        </w:rPr>
      </w:pPr>
    </w:p>
    <w:p w14:paraId="61F3C18B" w14:textId="77777777" w:rsidR="008038E2" w:rsidRDefault="008038E2" w:rsidP="008038E2">
      <w:pPr>
        <w:spacing w:line="276" w:lineRule="auto"/>
        <w:rPr>
          <w:rFonts w:ascii="Calibri Light" w:hAnsi="Calibri Light"/>
          <w:b/>
          <w:bCs/>
        </w:rPr>
      </w:pPr>
    </w:p>
    <w:p w14:paraId="5F54EE2D" w14:textId="77777777" w:rsidR="008038E2" w:rsidRPr="007E0234" w:rsidRDefault="008038E2" w:rsidP="008038E2">
      <w:pPr>
        <w:spacing w:line="276" w:lineRule="auto"/>
        <w:rPr>
          <w:rFonts w:ascii="Calibri Light" w:hAnsi="Calibri Light"/>
          <w:b/>
          <w:bCs/>
        </w:rPr>
      </w:pPr>
    </w:p>
    <w:p w14:paraId="584217C7" w14:textId="77777777" w:rsidR="008038E2" w:rsidRPr="005D14BD" w:rsidRDefault="008038E2" w:rsidP="008038E2">
      <w:pPr>
        <w:spacing w:line="276" w:lineRule="auto"/>
        <w:jc w:val="center"/>
        <w:rPr>
          <w:rStyle w:val="Wyrnienieintensywne"/>
          <w:rFonts w:asciiTheme="minorHAnsi" w:hAnsiTheme="minorHAnsi" w:cstheme="minorHAnsi"/>
          <w:i w:val="0"/>
          <w:iCs/>
          <w:sz w:val="28"/>
          <w:szCs w:val="28"/>
        </w:rPr>
      </w:pPr>
      <w:r w:rsidRPr="005D14BD">
        <w:rPr>
          <w:rStyle w:val="Wyrnienieintensywne"/>
          <w:rFonts w:asciiTheme="minorHAnsi" w:hAnsiTheme="minorHAnsi" w:cstheme="minorHAnsi"/>
          <w:i w:val="0"/>
          <w:iCs/>
          <w:sz w:val="28"/>
          <w:szCs w:val="28"/>
        </w:rPr>
        <w:t>Zamawiający</w:t>
      </w:r>
    </w:p>
    <w:tbl>
      <w:tblPr>
        <w:tblW w:w="9072" w:type="dxa"/>
        <w:tblLook w:val="04A0" w:firstRow="1" w:lastRow="0" w:firstColumn="1" w:lastColumn="0" w:noHBand="0" w:noVBand="1"/>
      </w:tblPr>
      <w:tblGrid>
        <w:gridCol w:w="8789"/>
        <w:gridCol w:w="283"/>
      </w:tblGrid>
      <w:tr w:rsidR="008038E2" w:rsidRPr="00BA3DB7" w14:paraId="6B0FB19A" w14:textId="77777777" w:rsidTr="0015514F">
        <w:tc>
          <w:tcPr>
            <w:tcW w:w="8789" w:type="dxa"/>
            <w:shd w:val="clear" w:color="auto" w:fill="auto"/>
          </w:tcPr>
          <w:p w14:paraId="4F5DC388" w14:textId="72D7DAE5" w:rsidR="008038E2" w:rsidRPr="0024383B" w:rsidRDefault="003C1992" w:rsidP="0015514F">
            <w:pPr>
              <w:spacing w:after="0"/>
              <w:jc w:val="center"/>
              <w:rPr>
                <w:bCs/>
                <w:sz w:val="22"/>
              </w:rPr>
            </w:pPr>
            <w:r>
              <w:rPr>
                <w:noProof/>
              </w:rPr>
              <w:drawing>
                <wp:inline distT="0" distB="0" distL="0" distR="0" wp14:anchorId="60C009FF" wp14:editId="727D3A9B">
                  <wp:extent cx="2081048" cy="1671808"/>
                  <wp:effectExtent l="0" t="0" r="0" b="5080"/>
                  <wp:docPr id="449060627" name="Obraz 3" descr="LOGOTYP MFI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060627" name="Obraz 3" descr="LOGOTYP MFI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84518" cy="1674596"/>
                          </a:xfrm>
                          <a:prstGeom prst="rect">
                            <a:avLst/>
                          </a:prstGeom>
                          <a:noFill/>
                          <a:ln>
                            <a:noFill/>
                          </a:ln>
                        </pic:spPr>
                      </pic:pic>
                    </a:graphicData>
                  </a:graphic>
                </wp:inline>
              </w:drawing>
            </w:r>
          </w:p>
        </w:tc>
        <w:tc>
          <w:tcPr>
            <w:tcW w:w="283" w:type="dxa"/>
            <w:shd w:val="clear" w:color="auto" w:fill="auto"/>
            <w:vAlign w:val="center"/>
          </w:tcPr>
          <w:p w14:paraId="5B230F52" w14:textId="77777777" w:rsidR="008038E2" w:rsidRPr="0024383B" w:rsidRDefault="008038E2" w:rsidP="0015514F">
            <w:pPr>
              <w:spacing w:after="0"/>
              <w:jc w:val="center"/>
              <w:rPr>
                <w:b/>
                <w:bCs/>
                <w:sz w:val="22"/>
                <w:highlight w:val="green"/>
              </w:rPr>
            </w:pPr>
          </w:p>
        </w:tc>
      </w:tr>
    </w:tbl>
    <w:p w14:paraId="3904BFC3" w14:textId="77777777" w:rsidR="008038E2" w:rsidRDefault="008038E2" w:rsidP="008038E2">
      <w:pPr>
        <w:spacing w:line="276" w:lineRule="auto"/>
        <w:rPr>
          <w:rFonts w:ascii="Calibri Light" w:hAnsi="Calibri Light"/>
          <w:b/>
          <w:bCs/>
        </w:rPr>
      </w:pPr>
    </w:p>
    <w:p w14:paraId="063D6666" w14:textId="77777777" w:rsidR="008038E2" w:rsidRPr="0024383B" w:rsidRDefault="008038E2" w:rsidP="008038E2">
      <w:pPr>
        <w:spacing w:line="276" w:lineRule="auto"/>
        <w:rPr>
          <w:rFonts w:ascii="Calibri Light" w:hAnsi="Calibri Light"/>
          <w:b/>
          <w:bCs/>
        </w:rPr>
      </w:pPr>
    </w:p>
    <w:p w14:paraId="3598675F" w14:textId="77777777" w:rsidR="005D14BD" w:rsidRDefault="005D14BD" w:rsidP="008038E2">
      <w:pPr>
        <w:spacing w:line="276" w:lineRule="auto"/>
        <w:jc w:val="center"/>
        <w:rPr>
          <w:rStyle w:val="Wyrnienieintensywne"/>
          <w:rFonts w:asciiTheme="minorHAnsi" w:hAnsiTheme="minorHAnsi" w:cstheme="minorHAnsi"/>
          <w:i w:val="0"/>
          <w:iCs/>
          <w:sz w:val="28"/>
          <w:szCs w:val="28"/>
        </w:rPr>
      </w:pPr>
    </w:p>
    <w:p w14:paraId="15C78B40" w14:textId="77777777" w:rsidR="005D14BD" w:rsidRDefault="005D14BD" w:rsidP="008038E2">
      <w:pPr>
        <w:spacing w:line="276" w:lineRule="auto"/>
        <w:jc w:val="center"/>
        <w:rPr>
          <w:rStyle w:val="Wyrnienieintensywne"/>
          <w:iCs/>
          <w:sz w:val="28"/>
          <w:szCs w:val="28"/>
        </w:rPr>
      </w:pPr>
    </w:p>
    <w:p w14:paraId="7C8E0043" w14:textId="347F6161" w:rsidR="008038E2" w:rsidRDefault="008038E2" w:rsidP="008038E2">
      <w:pPr>
        <w:spacing w:line="276" w:lineRule="auto"/>
        <w:jc w:val="center"/>
        <w:rPr>
          <w:rStyle w:val="Wyrnienieintensywne"/>
          <w:rFonts w:asciiTheme="minorHAnsi" w:hAnsiTheme="minorHAnsi" w:cstheme="minorHAnsi"/>
          <w:i w:val="0"/>
          <w:iCs/>
          <w:sz w:val="28"/>
          <w:szCs w:val="28"/>
        </w:rPr>
      </w:pPr>
      <w:r w:rsidRPr="005D14BD">
        <w:rPr>
          <w:rStyle w:val="Wyrnienieintensywne"/>
          <w:rFonts w:asciiTheme="minorHAnsi" w:hAnsiTheme="minorHAnsi" w:cstheme="minorHAnsi"/>
          <w:i w:val="0"/>
          <w:iCs/>
          <w:sz w:val="28"/>
          <w:szCs w:val="28"/>
        </w:rPr>
        <w:t>Wykonawcy</w:t>
      </w:r>
    </w:p>
    <w:tbl>
      <w:tblPr>
        <w:tblStyle w:val="Tabela-Siatk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530"/>
      </w:tblGrid>
      <w:tr w:rsidR="003C1992" w:rsidRPr="003C1992" w14:paraId="6FAC2F5E" w14:textId="77777777" w:rsidTr="008374F6">
        <w:trPr>
          <w:jc w:val="center"/>
        </w:trPr>
        <w:tc>
          <w:tcPr>
            <w:tcW w:w="4530" w:type="dxa"/>
          </w:tcPr>
          <w:p w14:paraId="07D78B60" w14:textId="5BF3F4CB" w:rsidR="003C1992" w:rsidRPr="00404E5F" w:rsidRDefault="003C1992" w:rsidP="005D14BD">
            <w:pPr>
              <w:jc w:val="center"/>
              <w:rPr>
                <w:rStyle w:val="Wyrnienieintensywne"/>
                <w:rFonts w:ascii="Arial" w:hAnsi="Arial" w:cs="Arial"/>
                <w:b w:val="0"/>
                <w:bCs/>
                <w:i w:val="0"/>
                <w:iCs/>
                <w:color w:val="auto"/>
              </w:rPr>
            </w:pPr>
            <w:r w:rsidRPr="00404E5F">
              <w:rPr>
                <w:rStyle w:val="Wyrnienieintensywne"/>
                <w:rFonts w:ascii="Arial" w:hAnsi="Arial" w:cs="Arial"/>
                <w:b w:val="0"/>
                <w:bCs/>
                <w:i w:val="0"/>
                <w:iCs/>
                <w:color w:val="auto"/>
              </w:rPr>
              <w:t>Lider konsorcjum</w:t>
            </w:r>
          </w:p>
          <w:p w14:paraId="07DBC74D" w14:textId="3D356AC5" w:rsidR="003C1992" w:rsidRPr="00404E5F" w:rsidRDefault="003C1992" w:rsidP="008374F6">
            <w:pPr>
              <w:spacing w:after="0" w:line="276" w:lineRule="auto"/>
              <w:jc w:val="center"/>
              <w:rPr>
                <w:rFonts w:ascii="Arial" w:hAnsi="Arial" w:cs="Arial"/>
                <w:b/>
              </w:rPr>
            </w:pPr>
            <w:r w:rsidRPr="00404E5F">
              <w:rPr>
                <w:rFonts w:ascii="Arial" w:hAnsi="Arial" w:cs="Arial"/>
                <w:b/>
              </w:rPr>
              <w:t xml:space="preserve">EcorysPolska </w:t>
            </w:r>
            <w:r w:rsidR="008374F6" w:rsidRPr="00404E5F">
              <w:rPr>
                <w:rFonts w:ascii="Arial" w:hAnsi="Arial" w:cs="Arial"/>
                <w:b/>
              </w:rPr>
              <w:br/>
            </w:r>
            <w:r w:rsidRPr="00404E5F">
              <w:rPr>
                <w:rFonts w:ascii="Arial" w:hAnsi="Arial" w:cs="Arial"/>
                <w:b/>
              </w:rPr>
              <w:t>sp. z o.o.</w:t>
            </w:r>
          </w:p>
          <w:p w14:paraId="161EDB30" w14:textId="673B5DFF" w:rsidR="003C1992" w:rsidRPr="00404E5F" w:rsidRDefault="003C1992" w:rsidP="005D14BD">
            <w:pPr>
              <w:spacing w:after="0" w:line="276" w:lineRule="auto"/>
              <w:jc w:val="center"/>
              <w:rPr>
                <w:rStyle w:val="Wyrnienieintensywne"/>
                <w:rFonts w:ascii="Arial" w:hAnsi="Arial" w:cs="Arial"/>
                <w:b w:val="0"/>
                <w:bCs/>
                <w:i w:val="0"/>
                <w:color w:val="auto"/>
              </w:rPr>
            </w:pPr>
            <w:r w:rsidRPr="00404E5F">
              <w:rPr>
                <w:rFonts w:ascii="Arial" w:hAnsi="Arial" w:cs="Arial"/>
                <w:bCs/>
                <w:noProof/>
              </w:rPr>
              <w:drawing>
                <wp:inline distT="0" distB="0" distL="0" distR="0" wp14:anchorId="1A084827" wp14:editId="0194C536">
                  <wp:extent cx="1282065" cy="1087820"/>
                  <wp:effectExtent l="0" t="0" r="0" b="0"/>
                  <wp:docPr id="33171399" name="Obraz 3317139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2">
                            <a:extLst>
                              <a:ext uri="{C183D7F6-B498-43B3-948B-1728B52AA6E4}">
                                <adec:decorative xmlns:adec="http://schemas.microsoft.com/office/drawing/2017/decorative" val="1"/>
                              </a:ext>
                            </a:extLst>
                          </pic:cNvPr>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1282829" cy="1088468"/>
                          </a:xfrm>
                          <a:prstGeom prst="rect">
                            <a:avLst/>
                          </a:prstGeom>
                        </pic:spPr>
                      </pic:pic>
                    </a:graphicData>
                  </a:graphic>
                </wp:inline>
              </w:drawing>
            </w:r>
          </w:p>
        </w:tc>
        <w:tc>
          <w:tcPr>
            <w:tcW w:w="4530" w:type="dxa"/>
          </w:tcPr>
          <w:p w14:paraId="2A96C949" w14:textId="77777777" w:rsidR="003C1992" w:rsidRPr="00404E5F" w:rsidRDefault="003C1992" w:rsidP="005D14BD">
            <w:pPr>
              <w:jc w:val="center"/>
              <w:rPr>
                <w:rStyle w:val="Wyrnienieintensywne"/>
                <w:rFonts w:ascii="Arial" w:hAnsi="Arial" w:cs="Arial"/>
                <w:b w:val="0"/>
                <w:bCs/>
                <w:i w:val="0"/>
                <w:iCs/>
                <w:color w:val="auto"/>
              </w:rPr>
            </w:pPr>
            <w:r w:rsidRPr="00404E5F">
              <w:rPr>
                <w:rStyle w:val="Wyrnienieintensywne"/>
                <w:rFonts w:ascii="Arial" w:hAnsi="Arial" w:cs="Arial"/>
                <w:b w:val="0"/>
                <w:bCs/>
                <w:i w:val="0"/>
                <w:iCs/>
                <w:color w:val="auto"/>
              </w:rPr>
              <w:t>Partner konsorcjum:</w:t>
            </w:r>
          </w:p>
          <w:p w14:paraId="7945DC44" w14:textId="79BEDFA6" w:rsidR="003C1992" w:rsidRPr="00404E5F" w:rsidRDefault="003C1992" w:rsidP="005D14BD">
            <w:pPr>
              <w:jc w:val="center"/>
              <w:rPr>
                <w:rFonts w:ascii="Arial" w:hAnsi="Arial" w:cs="Arial"/>
                <w:b/>
                <w:i/>
                <w:iCs/>
                <w:color w:val="44546A"/>
              </w:rPr>
            </w:pPr>
            <w:r w:rsidRPr="00404E5F">
              <w:rPr>
                <w:rFonts w:ascii="Arial" w:hAnsi="Arial" w:cs="Arial"/>
                <w:b/>
              </w:rPr>
              <w:t xml:space="preserve">WiseEuropa - Fundacja Warszawski Instytut Studiów Ekonomicznych </w:t>
            </w:r>
            <w:r w:rsidRPr="00404E5F">
              <w:rPr>
                <w:rFonts w:ascii="Arial" w:hAnsi="Arial" w:cs="Arial"/>
                <w:b/>
              </w:rPr>
              <w:br/>
              <w:t>i Europejskich</w:t>
            </w:r>
          </w:p>
          <w:p w14:paraId="38CB709E" w14:textId="385A45B6" w:rsidR="003C1992" w:rsidRPr="00404E5F" w:rsidRDefault="003C1992" w:rsidP="005D14BD">
            <w:pPr>
              <w:jc w:val="center"/>
              <w:rPr>
                <w:rStyle w:val="Wyrnienieintensywne"/>
                <w:rFonts w:ascii="Arial" w:hAnsi="Arial" w:cs="Arial"/>
                <w:b w:val="0"/>
                <w:bCs/>
                <w:i w:val="0"/>
                <w:iCs/>
                <w:color w:val="auto"/>
              </w:rPr>
            </w:pPr>
            <w:r w:rsidRPr="00404E5F">
              <w:rPr>
                <w:rFonts w:ascii="Arial" w:hAnsi="Arial" w:cs="Arial"/>
                <w:bCs/>
                <w:noProof/>
              </w:rPr>
              <w:drawing>
                <wp:inline distT="0" distB="0" distL="0" distR="0" wp14:anchorId="76CE9FF0" wp14:editId="6FDAA076">
                  <wp:extent cx="1504950" cy="922655"/>
                  <wp:effectExtent l="0" t="0" r="0" b="0"/>
                  <wp:docPr id="1574562864" name="Obraz 15745628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 3">
                            <a:extLst>
                              <a:ext uri="{C183D7F6-B498-43B3-948B-1728B52AA6E4}">
                                <adec:decorative xmlns:adec="http://schemas.microsoft.com/office/drawing/2017/decorative" val="1"/>
                              </a:ext>
                            </a:extLst>
                          </pic:cNvPr>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04950" cy="922655"/>
                          </a:xfrm>
                          <a:prstGeom prst="rect">
                            <a:avLst/>
                          </a:prstGeom>
                          <a:noFill/>
                          <a:ln>
                            <a:noFill/>
                          </a:ln>
                        </pic:spPr>
                      </pic:pic>
                    </a:graphicData>
                  </a:graphic>
                </wp:inline>
              </w:drawing>
            </w:r>
          </w:p>
        </w:tc>
      </w:tr>
      <w:tr w:rsidR="005D14BD" w:rsidRPr="003C1992" w14:paraId="456E8D13" w14:textId="77777777" w:rsidTr="008374F6">
        <w:trPr>
          <w:jc w:val="center"/>
        </w:trPr>
        <w:tc>
          <w:tcPr>
            <w:tcW w:w="4530" w:type="dxa"/>
          </w:tcPr>
          <w:p w14:paraId="2DEE1695" w14:textId="77777777" w:rsidR="005D14BD" w:rsidRPr="00404E5F" w:rsidRDefault="005D14BD" w:rsidP="005D14BD">
            <w:pPr>
              <w:spacing w:after="0" w:line="276" w:lineRule="auto"/>
              <w:jc w:val="center"/>
              <w:rPr>
                <w:rFonts w:ascii="Arial" w:hAnsi="Arial" w:cs="Arial"/>
                <w:bCs/>
              </w:rPr>
            </w:pPr>
            <w:r w:rsidRPr="00404E5F">
              <w:rPr>
                <w:rFonts w:ascii="Arial" w:hAnsi="Arial" w:cs="Arial"/>
                <w:bCs/>
              </w:rPr>
              <w:t>ul. Solec 38 lok. 105</w:t>
            </w:r>
            <w:r w:rsidRPr="00404E5F">
              <w:rPr>
                <w:rFonts w:ascii="Arial" w:hAnsi="Arial" w:cs="Arial"/>
                <w:bCs/>
              </w:rPr>
              <w:br/>
              <w:t>00-394 Warszawa</w:t>
            </w:r>
            <w:r w:rsidRPr="00404E5F">
              <w:rPr>
                <w:rFonts w:ascii="Arial" w:hAnsi="Arial" w:cs="Arial"/>
                <w:bCs/>
              </w:rPr>
              <w:br/>
              <w:t>tel: +48 22 339 36 40</w:t>
            </w:r>
            <w:r w:rsidRPr="00404E5F">
              <w:rPr>
                <w:rFonts w:ascii="Arial" w:hAnsi="Arial" w:cs="Arial"/>
                <w:bCs/>
              </w:rPr>
              <w:br/>
              <w:t xml:space="preserve">email: </w:t>
            </w:r>
            <w:hyperlink r:id="rId20" w:history="1">
              <w:r w:rsidRPr="00404E5F">
                <w:rPr>
                  <w:rStyle w:val="Hipercze"/>
                  <w:rFonts w:ascii="Arial" w:hAnsi="Arial" w:cs="Arial"/>
                  <w:bCs/>
                </w:rPr>
                <w:t>ecorys@ecorys.pl</w:t>
              </w:r>
            </w:hyperlink>
            <w:r w:rsidRPr="00404E5F">
              <w:rPr>
                <w:rFonts w:ascii="Arial" w:hAnsi="Arial" w:cs="Arial"/>
                <w:bCs/>
              </w:rPr>
              <w:br/>
            </w:r>
          </w:p>
          <w:p w14:paraId="5C18DF6A" w14:textId="21E51B1C" w:rsidR="005D14BD" w:rsidRPr="00404E5F" w:rsidRDefault="00B17C18" w:rsidP="005D14BD">
            <w:pPr>
              <w:jc w:val="center"/>
              <w:rPr>
                <w:rStyle w:val="Wyrnienieintensywne"/>
                <w:rFonts w:ascii="Arial" w:hAnsi="Arial" w:cs="Arial"/>
                <w:b w:val="0"/>
                <w:bCs/>
                <w:i w:val="0"/>
                <w:iCs/>
                <w:color w:val="auto"/>
              </w:rPr>
            </w:pPr>
            <w:hyperlink r:id="rId21" w:history="1">
              <w:r w:rsidR="005D14BD" w:rsidRPr="00404E5F">
                <w:rPr>
                  <w:rStyle w:val="Hipercze"/>
                  <w:rFonts w:ascii="Arial" w:hAnsi="Arial" w:cs="Arial"/>
                  <w:bCs/>
                </w:rPr>
                <w:t>www.ecorys.pl</w:t>
              </w:r>
            </w:hyperlink>
          </w:p>
        </w:tc>
        <w:tc>
          <w:tcPr>
            <w:tcW w:w="4530" w:type="dxa"/>
          </w:tcPr>
          <w:p w14:paraId="055C7C55" w14:textId="77777777" w:rsidR="005D14BD" w:rsidRPr="00404E5F" w:rsidRDefault="005D14BD" w:rsidP="005D14BD">
            <w:pPr>
              <w:spacing w:after="0" w:line="276" w:lineRule="auto"/>
              <w:jc w:val="center"/>
              <w:rPr>
                <w:rFonts w:ascii="Arial" w:hAnsi="Arial" w:cs="Arial"/>
                <w:bCs/>
              </w:rPr>
            </w:pPr>
            <w:r w:rsidRPr="00404E5F">
              <w:rPr>
                <w:rFonts w:ascii="Arial" w:hAnsi="Arial" w:cs="Arial"/>
                <w:bCs/>
              </w:rPr>
              <w:t>ul. Królewska 2/26</w:t>
            </w:r>
          </w:p>
          <w:p w14:paraId="481A76E2" w14:textId="77777777" w:rsidR="005D14BD" w:rsidRPr="00404E5F" w:rsidRDefault="005D14BD" w:rsidP="005D14BD">
            <w:pPr>
              <w:spacing w:after="0" w:line="276" w:lineRule="auto"/>
              <w:jc w:val="center"/>
              <w:rPr>
                <w:rFonts w:ascii="Arial" w:hAnsi="Arial" w:cs="Arial"/>
                <w:bCs/>
              </w:rPr>
            </w:pPr>
            <w:r w:rsidRPr="00404E5F">
              <w:rPr>
                <w:rFonts w:ascii="Arial" w:hAnsi="Arial" w:cs="Arial"/>
                <w:bCs/>
              </w:rPr>
              <w:t>00-065 Warszawa</w:t>
            </w:r>
          </w:p>
          <w:p w14:paraId="3A4FAA2C" w14:textId="77777777" w:rsidR="005D14BD" w:rsidRPr="00404E5F" w:rsidRDefault="005D14BD" w:rsidP="005D14BD">
            <w:pPr>
              <w:spacing w:after="0" w:line="276" w:lineRule="auto"/>
              <w:jc w:val="center"/>
              <w:rPr>
                <w:rFonts w:ascii="Arial" w:hAnsi="Arial" w:cs="Arial"/>
                <w:bCs/>
              </w:rPr>
            </w:pPr>
            <w:r w:rsidRPr="00404E5F">
              <w:rPr>
                <w:rFonts w:ascii="Arial" w:hAnsi="Arial" w:cs="Arial"/>
                <w:bCs/>
              </w:rPr>
              <w:t>tel: +48 22 513 14 18</w:t>
            </w:r>
          </w:p>
          <w:p w14:paraId="1D402D4F" w14:textId="77777777" w:rsidR="005D14BD" w:rsidRPr="00404E5F" w:rsidRDefault="005D14BD" w:rsidP="005D14BD">
            <w:pPr>
              <w:spacing w:after="0" w:line="276" w:lineRule="auto"/>
              <w:jc w:val="center"/>
              <w:rPr>
                <w:rFonts w:ascii="Arial" w:hAnsi="Arial" w:cs="Arial"/>
                <w:bCs/>
              </w:rPr>
            </w:pPr>
            <w:r w:rsidRPr="00404E5F">
              <w:rPr>
                <w:rFonts w:ascii="Arial" w:hAnsi="Arial" w:cs="Arial"/>
                <w:bCs/>
              </w:rPr>
              <w:t xml:space="preserve">email: </w:t>
            </w:r>
            <w:hyperlink r:id="rId22" w:history="1">
              <w:r w:rsidRPr="00404E5F">
                <w:rPr>
                  <w:rStyle w:val="Hipercze"/>
                  <w:rFonts w:ascii="Arial" w:hAnsi="Arial" w:cs="Arial"/>
                  <w:bCs/>
                </w:rPr>
                <w:t>office@wise-europa.eu</w:t>
              </w:r>
            </w:hyperlink>
          </w:p>
          <w:p w14:paraId="4216E293" w14:textId="77777777" w:rsidR="005D14BD" w:rsidRPr="00404E5F" w:rsidRDefault="005D14BD" w:rsidP="005D14BD">
            <w:pPr>
              <w:spacing w:after="0" w:line="276" w:lineRule="auto"/>
              <w:jc w:val="center"/>
              <w:rPr>
                <w:rFonts w:ascii="Arial" w:hAnsi="Arial" w:cs="Arial"/>
                <w:bCs/>
                <w:lang w:val="de-DE"/>
              </w:rPr>
            </w:pPr>
          </w:p>
          <w:p w14:paraId="413FBE26" w14:textId="02FF080F" w:rsidR="005D14BD" w:rsidRPr="00404E5F" w:rsidRDefault="00B17C18" w:rsidP="005D14BD">
            <w:pPr>
              <w:jc w:val="center"/>
              <w:rPr>
                <w:rStyle w:val="Wyrnienieintensywne"/>
                <w:rFonts w:ascii="Arial" w:hAnsi="Arial" w:cs="Arial"/>
                <w:b w:val="0"/>
                <w:bCs/>
                <w:i w:val="0"/>
                <w:iCs/>
                <w:color w:val="auto"/>
              </w:rPr>
            </w:pPr>
            <w:hyperlink r:id="rId23" w:history="1">
              <w:r w:rsidR="005D14BD" w:rsidRPr="00404E5F">
                <w:rPr>
                  <w:rStyle w:val="Hipercze"/>
                  <w:rFonts w:ascii="Arial" w:hAnsi="Arial" w:cs="Arial"/>
                  <w:bCs/>
                </w:rPr>
                <w:t>www.wise-europa.eu</w:t>
              </w:r>
            </w:hyperlink>
          </w:p>
        </w:tc>
      </w:tr>
    </w:tbl>
    <w:p w14:paraId="6E525277" w14:textId="77777777" w:rsidR="00404E5F" w:rsidRDefault="00404E5F" w:rsidP="00917386">
      <w:pPr>
        <w:spacing w:after="0"/>
        <w:rPr>
          <w:rFonts w:ascii="Arial" w:hAnsi="Arial" w:cs="Arial"/>
          <w:szCs w:val="14"/>
        </w:rPr>
      </w:pPr>
    </w:p>
    <w:p w14:paraId="18FC1B07" w14:textId="77777777" w:rsidR="00404E5F" w:rsidRDefault="00404E5F" w:rsidP="00404E5F">
      <w:pPr>
        <w:spacing w:after="0"/>
        <w:jc w:val="center"/>
        <w:rPr>
          <w:rFonts w:ascii="Arial" w:hAnsi="Arial" w:cs="Arial"/>
          <w:szCs w:val="14"/>
        </w:rPr>
      </w:pPr>
    </w:p>
    <w:p w14:paraId="5B3D5169" w14:textId="77777777" w:rsidR="006748AA" w:rsidRDefault="006748AA" w:rsidP="00404E5F">
      <w:pPr>
        <w:spacing w:after="0"/>
        <w:jc w:val="center"/>
        <w:rPr>
          <w:rFonts w:ascii="Arial" w:hAnsi="Arial" w:cs="Arial"/>
          <w:i/>
          <w:iCs/>
          <w:szCs w:val="14"/>
        </w:rPr>
      </w:pPr>
    </w:p>
    <w:p w14:paraId="18F9885A" w14:textId="02BE57DC" w:rsidR="00821526" w:rsidRDefault="00821526" w:rsidP="00404E5F">
      <w:pPr>
        <w:spacing w:after="0"/>
        <w:jc w:val="center"/>
        <w:rPr>
          <w:rFonts w:ascii="Arial" w:hAnsi="Arial" w:cs="Arial"/>
          <w:i/>
          <w:iCs/>
          <w:szCs w:val="14"/>
        </w:rPr>
      </w:pPr>
      <w:r w:rsidRPr="00917386">
        <w:rPr>
          <w:rFonts w:ascii="Arial" w:hAnsi="Arial" w:cs="Arial"/>
          <w:i/>
          <w:iCs/>
          <w:szCs w:val="14"/>
        </w:rPr>
        <w:t>Zespół Badawczy: dr Maciej Bukowski, dr Beata Belica,</w:t>
      </w:r>
      <w:r w:rsidR="006748AA" w:rsidRPr="00917386">
        <w:rPr>
          <w:rFonts w:ascii="Arial" w:hAnsi="Arial" w:cs="Arial"/>
          <w:i/>
          <w:iCs/>
          <w:szCs w:val="14"/>
        </w:rPr>
        <w:t xml:space="preserve"> Przemysław Bruhn, Cezary Gołębiowski, Adam Rybkowski</w:t>
      </w:r>
    </w:p>
    <w:p w14:paraId="2E9D9307" w14:textId="77777777" w:rsidR="006748AA" w:rsidRDefault="006748AA" w:rsidP="00917386">
      <w:pPr>
        <w:spacing w:after="0"/>
        <w:rPr>
          <w:rFonts w:ascii="Arial" w:hAnsi="Arial" w:cs="Arial"/>
          <w:i/>
          <w:iCs/>
          <w:szCs w:val="14"/>
        </w:rPr>
      </w:pPr>
    </w:p>
    <w:p w14:paraId="2A6E6928" w14:textId="77777777" w:rsidR="006748AA" w:rsidRPr="00917386" w:rsidRDefault="006748AA" w:rsidP="00404E5F">
      <w:pPr>
        <w:spacing w:after="0"/>
        <w:jc w:val="center"/>
        <w:rPr>
          <w:rFonts w:ascii="Arial" w:hAnsi="Arial" w:cs="Arial"/>
          <w:i/>
          <w:iCs/>
          <w:szCs w:val="14"/>
        </w:rPr>
      </w:pPr>
    </w:p>
    <w:p w14:paraId="78E0D2A2" w14:textId="77777777" w:rsidR="00821526" w:rsidRDefault="00821526" w:rsidP="00404E5F">
      <w:pPr>
        <w:spacing w:after="0"/>
        <w:jc w:val="center"/>
        <w:rPr>
          <w:rFonts w:ascii="Arial" w:hAnsi="Arial" w:cs="Arial"/>
          <w:szCs w:val="14"/>
        </w:rPr>
      </w:pPr>
    </w:p>
    <w:p w14:paraId="635B7C15" w14:textId="669EC3AA" w:rsidR="00404E5F" w:rsidRPr="00404E5F" w:rsidRDefault="00404E5F" w:rsidP="00404E5F">
      <w:pPr>
        <w:spacing w:after="0"/>
        <w:jc w:val="center"/>
        <w:rPr>
          <w:rFonts w:ascii="Arial" w:hAnsi="Arial" w:cs="Arial"/>
          <w:szCs w:val="14"/>
        </w:rPr>
      </w:pPr>
      <w:r w:rsidRPr="00404E5F">
        <w:rPr>
          <w:rFonts w:ascii="Arial" w:hAnsi="Arial" w:cs="Arial"/>
          <w:szCs w:val="14"/>
        </w:rPr>
        <w:t>Warszawa</w:t>
      </w:r>
      <w:r w:rsidR="0054597F">
        <w:rPr>
          <w:rFonts w:ascii="Arial" w:hAnsi="Arial" w:cs="Arial"/>
          <w:szCs w:val="14"/>
        </w:rPr>
        <w:t xml:space="preserve">, </w:t>
      </w:r>
      <w:r w:rsidR="006748AA">
        <w:rPr>
          <w:rFonts w:ascii="Arial" w:hAnsi="Arial" w:cs="Arial"/>
          <w:szCs w:val="14"/>
        </w:rPr>
        <w:t xml:space="preserve">wrzesień </w:t>
      </w:r>
      <w:r w:rsidRPr="00404E5F">
        <w:rPr>
          <w:rFonts w:ascii="Arial" w:hAnsi="Arial" w:cs="Arial"/>
          <w:szCs w:val="14"/>
        </w:rPr>
        <w:t>202</w:t>
      </w:r>
      <w:r w:rsidR="001C4D1D">
        <w:rPr>
          <w:rFonts w:ascii="Arial" w:hAnsi="Arial" w:cs="Arial"/>
          <w:szCs w:val="14"/>
        </w:rPr>
        <w:t>4</w:t>
      </w:r>
      <w:r w:rsidR="005D14BD" w:rsidRPr="00404E5F">
        <w:rPr>
          <w:rFonts w:ascii="Arial" w:hAnsi="Arial" w:cs="Arial"/>
          <w:szCs w:val="14"/>
        </w:rPr>
        <w:br w:type="page"/>
      </w:r>
    </w:p>
    <w:p w14:paraId="69B55C26" w14:textId="77777777" w:rsidR="000F3F4B" w:rsidRPr="0083752C" w:rsidRDefault="000F3F4B" w:rsidP="000F3F4B">
      <w:pPr>
        <w:pStyle w:val="Styl2"/>
        <w:numPr>
          <w:ilvl w:val="0"/>
          <w:numId w:val="0"/>
        </w:numPr>
        <w:rPr>
          <w:lang w:val="en-US"/>
        </w:rPr>
      </w:pPr>
      <w:bookmarkStart w:id="0" w:name="_Toc176241607"/>
      <w:bookmarkStart w:id="1" w:name="_Toc136373153"/>
      <w:r w:rsidRPr="0083752C">
        <w:rPr>
          <w:lang w:val="en-US"/>
        </w:rPr>
        <w:lastRenderedPageBreak/>
        <w:t>Spis treści</w:t>
      </w:r>
      <w:bookmarkEnd w:id="0"/>
    </w:p>
    <w:p w14:paraId="6D9D1517" w14:textId="77777777" w:rsidR="000F3F4B" w:rsidRPr="0083752C" w:rsidRDefault="000F3F4B" w:rsidP="000F3F4B">
      <w:pPr>
        <w:spacing w:after="0"/>
        <w:jc w:val="left"/>
        <w:rPr>
          <w:rFonts w:asciiTheme="minorHAnsi" w:hAnsiTheme="minorHAnsi" w:cstheme="minorHAnsi"/>
          <w:lang w:val="en-US"/>
        </w:rPr>
      </w:pPr>
    </w:p>
    <w:sdt>
      <w:sdtPr>
        <w:rPr>
          <w:rFonts w:asciiTheme="minorHAnsi" w:hAnsiTheme="minorHAnsi" w:cstheme="minorBidi"/>
          <w:b w:val="0"/>
          <w:noProof w:val="0"/>
        </w:rPr>
        <w:id w:val="-1592086304"/>
        <w:docPartObj>
          <w:docPartGallery w:val="Table of Contents"/>
          <w:docPartUnique/>
        </w:docPartObj>
      </w:sdtPr>
      <w:sdtEndPr/>
      <w:sdtContent>
        <w:p w14:paraId="46EFF12E" w14:textId="6F4C722E" w:rsidR="000F3F4B" w:rsidRDefault="000F3F4B">
          <w:pPr>
            <w:pStyle w:val="Spistreci1"/>
            <w:rPr>
              <w:rFonts w:asciiTheme="minorHAnsi" w:eastAsiaTheme="minorEastAsia" w:hAnsiTheme="minorHAnsi" w:cstheme="minorBidi"/>
              <w:b w:val="0"/>
              <w:kern w:val="2"/>
              <w:sz w:val="24"/>
              <w:szCs w:val="24"/>
              <w:lang w:eastAsia="pl-PL"/>
              <w14:ligatures w14:val="standardContextual"/>
            </w:rPr>
          </w:pPr>
          <w:r w:rsidRPr="004D4A84">
            <w:rPr>
              <w:rFonts w:ascii="Arial" w:hAnsi="Arial" w:cs="Arial"/>
            </w:rPr>
            <w:fldChar w:fldCharType="begin"/>
          </w:r>
          <w:r w:rsidRPr="004D4A84">
            <w:rPr>
              <w:rFonts w:ascii="Arial" w:hAnsi="Arial" w:cs="Arial"/>
            </w:rPr>
            <w:instrText xml:space="preserve"> TOC \o "1-3" \h \z \u </w:instrText>
          </w:r>
          <w:r w:rsidRPr="004D4A84">
            <w:rPr>
              <w:rFonts w:ascii="Arial" w:hAnsi="Arial" w:cs="Arial"/>
            </w:rPr>
            <w:fldChar w:fldCharType="separate"/>
          </w:r>
          <w:hyperlink w:anchor="_Toc176241608" w:history="1">
            <w:r w:rsidRPr="00954114">
              <w:rPr>
                <w:rStyle w:val="Hipercze"/>
                <w:rFonts w:ascii="Arial" w:hAnsi="Arial" w:cs="Arial"/>
              </w:rPr>
              <w:t>Wykaz skrótów</w:t>
            </w:r>
            <w:r>
              <w:rPr>
                <w:webHidden/>
              </w:rPr>
              <w:tab/>
            </w:r>
            <w:r>
              <w:rPr>
                <w:webHidden/>
              </w:rPr>
              <w:fldChar w:fldCharType="begin"/>
            </w:r>
            <w:r>
              <w:rPr>
                <w:webHidden/>
              </w:rPr>
              <w:instrText xml:space="preserve"> PAGEREF _Toc176241608 \h </w:instrText>
            </w:r>
            <w:r>
              <w:rPr>
                <w:webHidden/>
              </w:rPr>
            </w:r>
            <w:r>
              <w:rPr>
                <w:webHidden/>
              </w:rPr>
              <w:fldChar w:fldCharType="separate"/>
            </w:r>
            <w:r w:rsidR="008D0336">
              <w:rPr>
                <w:webHidden/>
              </w:rPr>
              <w:t>4</w:t>
            </w:r>
            <w:r>
              <w:rPr>
                <w:webHidden/>
              </w:rPr>
              <w:fldChar w:fldCharType="end"/>
            </w:r>
          </w:hyperlink>
        </w:p>
        <w:p w14:paraId="7E045BA8" w14:textId="472FECCA" w:rsidR="000F3F4B" w:rsidRDefault="00B17C18">
          <w:pPr>
            <w:pStyle w:val="Spistreci1"/>
            <w:rPr>
              <w:rFonts w:asciiTheme="minorHAnsi" w:eastAsiaTheme="minorEastAsia" w:hAnsiTheme="minorHAnsi" w:cstheme="minorBidi"/>
              <w:b w:val="0"/>
              <w:kern w:val="2"/>
              <w:sz w:val="24"/>
              <w:szCs w:val="24"/>
              <w:lang w:eastAsia="pl-PL"/>
              <w14:ligatures w14:val="standardContextual"/>
            </w:rPr>
          </w:pPr>
          <w:hyperlink w:anchor="_Toc176241609" w:history="1">
            <w:r w:rsidR="000F3F4B" w:rsidRPr="00954114">
              <w:rPr>
                <w:rStyle w:val="Hipercze"/>
              </w:rPr>
              <w:t>Streszczenie</w:t>
            </w:r>
            <w:r w:rsidR="000F3F4B">
              <w:rPr>
                <w:webHidden/>
              </w:rPr>
              <w:tab/>
            </w:r>
            <w:r w:rsidR="000F3F4B">
              <w:rPr>
                <w:webHidden/>
              </w:rPr>
              <w:fldChar w:fldCharType="begin"/>
            </w:r>
            <w:r w:rsidR="000F3F4B">
              <w:rPr>
                <w:webHidden/>
              </w:rPr>
              <w:instrText xml:space="preserve"> PAGEREF _Toc176241609 \h </w:instrText>
            </w:r>
            <w:r w:rsidR="000F3F4B">
              <w:rPr>
                <w:webHidden/>
              </w:rPr>
            </w:r>
            <w:r w:rsidR="000F3F4B">
              <w:rPr>
                <w:webHidden/>
              </w:rPr>
              <w:fldChar w:fldCharType="separate"/>
            </w:r>
            <w:r w:rsidR="008D0336">
              <w:rPr>
                <w:webHidden/>
              </w:rPr>
              <w:t>5</w:t>
            </w:r>
            <w:r w:rsidR="000F3F4B">
              <w:rPr>
                <w:webHidden/>
              </w:rPr>
              <w:fldChar w:fldCharType="end"/>
            </w:r>
          </w:hyperlink>
        </w:p>
        <w:p w14:paraId="083D3618" w14:textId="4C25B35D" w:rsidR="000F3F4B" w:rsidRDefault="00B17C18">
          <w:pPr>
            <w:pStyle w:val="Spistreci1"/>
            <w:rPr>
              <w:rFonts w:asciiTheme="minorHAnsi" w:eastAsiaTheme="minorEastAsia" w:hAnsiTheme="minorHAnsi" w:cstheme="minorBidi"/>
              <w:b w:val="0"/>
              <w:kern w:val="2"/>
              <w:sz w:val="24"/>
              <w:szCs w:val="24"/>
              <w:lang w:eastAsia="pl-PL"/>
              <w14:ligatures w14:val="standardContextual"/>
            </w:rPr>
          </w:pPr>
          <w:hyperlink w:anchor="_Toc176241610" w:history="1">
            <w:r w:rsidR="000F3F4B" w:rsidRPr="00954114">
              <w:rPr>
                <w:rStyle w:val="Hipercze"/>
              </w:rPr>
              <w:t>1.</w:t>
            </w:r>
            <w:r w:rsidR="000F3F4B">
              <w:rPr>
                <w:rFonts w:asciiTheme="minorHAnsi" w:eastAsiaTheme="minorEastAsia" w:hAnsiTheme="minorHAnsi" w:cstheme="minorBidi"/>
                <w:b w:val="0"/>
                <w:kern w:val="2"/>
                <w:sz w:val="24"/>
                <w:szCs w:val="24"/>
                <w:lang w:eastAsia="pl-PL"/>
                <w14:ligatures w14:val="standardContextual"/>
              </w:rPr>
              <w:tab/>
            </w:r>
            <w:r w:rsidR="000F3F4B" w:rsidRPr="00954114">
              <w:rPr>
                <w:rStyle w:val="Hipercze"/>
              </w:rPr>
              <w:t>Wprowadzenie - założenia modelu wraz z opisem metodologii badania</w:t>
            </w:r>
            <w:r w:rsidR="000F3F4B">
              <w:rPr>
                <w:webHidden/>
              </w:rPr>
              <w:tab/>
            </w:r>
            <w:r w:rsidR="000F3F4B">
              <w:rPr>
                <w:webHidden/>
              </w:rPr>
              <w:fldChar w:fldCharType="begin"/>
            </w:r>
            <w:r w:rsidR="000F3F4B">
              <w:rPr>
                <w:webHidden/>
              </w:rPr>
              <w:instrText xml:space="preserve"> PAGEREF _Toc176241610 \h </w:instrText>
            </w:r>
            <w:r w:rsidR="000F3F4B">
              <w:rPr>
                <w:webHidden/>
              </w:rPr>
            </w:r>
            <w:r w:rsidR="000F3F4B">
              <w:rPr>
                <w:webHidden/>
              </w:rPr>
              <w:fldChar w:fldCharType="separate"/>
            </w:r>
            <w:r w:rsidR="008D0336">
              <w:rPr>
                <w:webHidden/>
              </w:rPr>
              <w:t>9</w:t>
            </w:r>
            <w:r w:rsidR="000F3F4B">
              <w:rPr>
                <w:webHidden/>
              </w:rPr>
              <w:fldChar w:fldCharType="end"/>
            </w:r>
          </w:hyperlink>
        </w:p>
        <w:p w14:paraId="2F50E626" w14:textId="07B05463" w:rsidR="000F3F4B" w:rsidRDefault="00B17C18">
          <w:pPr>
            <w:pStyle w:val="Spistreci2"/>
            <w:rPr>
              <w:rFonts w:asciiTheme="minorHAnsi" w:eastAsiaTheme="minorEastAsia" w:hAnsiTheme="minorHAnsi" w:cstheme="minorBidi"/>
              <w:noProof/>
              <w:kern w:val="2"/>
              <w:sz w:val="24"/>
              <w:szCs w:val="24"/>
              <w:lang w:eastAsia="pl-PL"/>
              <w14:ligatures w14:val="standardContextual"/>
            </w:rPr>
          </w:pPr>
          <w:hyperlink w:anchor="_Toc176241611" w:history="1">
            <w:r w:rsidR="000F3F4B" w:rsidRPr="00954114">
              <w:rPr>
                <w:rStyle w:val="Hipercze"/>
                <w:rFonts w:cstheme="minorHAnsi"/>
                <w:noProof/>
              </w:rPr>
              <w:t>1.1</w:t>
            </w:r>
            <w:r w:rsidR="000F3F4B">
              <w:rPr>
                <w:rFonts w:asciiTheme="minorHAnsi" w:eastAsiaTheme="minorEastAsia" w:hAnsiTheme="minorHAnsi" w:cstheme="minorBidi"/>
                <w:noProof/>
                <w:kern w:val="2"/>
                <w:sz w:val="24"/>
                <w:szCs w:val="24"/>
                <w:lang w:eastAsia="pl-PL"/>
                <w14:ligatures w14:val="standardContextual"/>
              </w:rPr>
              <w:tab/>
            </w:r>
            <w:r w:rsidR="000F3F4B" w:rsidRPr="00954114">
              <w:rPr>
                <w:rStyle w:val="Hipercze"/>
                <w:rFonts w:cstheme="minorHAnsi"/>
                <w:noProof/>
              </w:rPr>
              <w:t>Główne cechy</w:t>
            </w:r>
            <w:r w:rsidR="000F3F4B">
              <w:rPr>
                <w:noProof/>
                <w:webHidden/>
              </w:rPr>
              <w:tab/>
            </w:r>
            <w:r w:rsidR="000F3F4B">
              <w:rPr>
                <w:noProof/>
                <w:webHidden/>
              </w:rPr>
              <w:fldChar w:fldCharType="begin"/>
            </w:r>
            <w:r w:rsidR="000F3F4B">
              <w:rPr>
                <w:noProof/>
                <w:webHidden/>
              </w:rPr>
              <w:instrText xml:space="preserve"> PAGEREF _Toc176241611 \h </w:instrText>
            </w:r>
            <w:r w:rsidR="000F3F4B">
              <w:rPr>
                <w:noProof/>
                <w:webHidden/>
              </w:rPr>
            </w:r>
            <w:r w:rsidR="000F3F4B">
              <w:rPr>
                <w:noProof/>
                <w:webHidden/>
              </w:rPr>
              <w:fldChar w:fldCharType="separate"/>
            </w:r>
            <w:r w:rsidR="008D0336">
              <w:rPr>
                <w:noProof/>
                <w:webHidden/>
              </w:rPr>
              <w:t>9</w:t>
            </w:r>
            <w:r w:rsidR="000F3F4B">
              <w:rPr>
                <w:noProof/>
                <w:webHidden/>
              </w:rPr>
              <w:fldChar w:fldCharType="end"/>
            </w:r>
          </w:hyperlink>
        </w:p>
        <w:p w14:paraId="4D9A18D2" w14:textId="444587BB" w:rsidR="000F3F4B" w:rsidRDefault="00B17C18">
          <w:pPr>
            <w:pStyle w:val="Spistreci2"/>
            <w:rPr>
              <w:rFonts w:asciiTheme="minorHAnsi" w:eastAsiaTheme="minorEastAsia" w:hAnsiTheme="minorHAnsi" w:cstheme="minorBidi"/>
              <w:noProof/>
              <w:kern w:val="2"/>
              <w:sz w:val="24"/>
              <w:szCs w:val="24"/>
              <w:lang w:eastAsia="pl-PL"/>
              <w14:ligatures w14:val="standardContextual"/>
            </w:rPr>
          </w:pPr>
          <w:hyperlink w:anchor="_Toc176241612" w:history="1">
            <w:r w:rsidR="000F3F4B" w:rsidRPr="00954114">
              <w:rPr>
                <w:rStyle w:val="Hipercze"/>
                <w:rFonts w:cstheme="minorHAnsi"/>
                <w:noProof/>
              </w:rPr>
              <w:t>1.2</w:t>
            </w:r>
            <w:r w:rsidR="000F3F4B">
              <w:rPr>
                <w:rFonts w:asciiTheme="minorHAnsi" w:eastAsiaTheme="minorEastAsia" w:hAnsiTheme="minorHAnsi" w:cstheme="minorBidi"/>
                <w:noProof/>
                <w:kern w:val="2"/>
                <w:sz w:val="24"/>
                <w:szCs w:val="24"/>
                <w:lang w:eastAsia="pl-PL"/>
                <w14:ligatures w14:val="standardContextual"/>
              </w:rPr>
              <w:tab/>
            </w:r>
            <w:r w:rsidR="000F3F4B" w:rsidRPr="00954114">
              <w:rPr>
                <w:rStyle w:val="Hipercze"/>
                <w:rFonts w:cstheme="minorHAnsi"/>
                <w:noProof/>
              </w:rPr>
              <w:t>Struktura modelu</w:t>
            </w:r>
            <w:r w:rsidR="000F3F4B">
              <w:rPr>
                <w:noProof/>
                <w:webHidden/>
              </w:rPr>
              <w:tab/>
            </w:r>
            <w:r w:rsidR="000F3F4B">
              <w:rPr>
                <w:noProof/>
                <w:webHidden/>
              </w:rPr>
              <w:fldChar w:fldCharType="begin"/>
            </w:r>
            <w:r w:rsidR="000F3F4B">
              <w:rPr>
                <w:noProof/>
                <w:webHidden/>
              </w:rPr>
              <w:instrText xml:space="preserve"> PAGEREF _Toc176241612 \h </w:instrText>
            </w:r>
            <w:r w:rsidR="000F3F4B">
              <w:rPr>
                <w:noProof/>
                <w:webHidden/>
              </w:rPr>
            </w:r>
            <w:r w:rsidR="000F3F4B">
              <w:rPr>
                <w:noProof/>
                <w:webHidden/>
              </w:rPr>
              <w:fldChar w:fldCharType="separate"/>
            </w:r>
            <w:r w:rsidR="008D0336">
              <w:rPr>
                <w:noProof/>
                <w:webHidden/>
              </w:rPr>
              <w:t>11</w:t>
            </w:r>
            <w:r w:rsidR="000F3F4B">
              <w:rPr>
                <w:noProof/>
                <w:webHidden/>
              </w:rPr>
              <w:fldChar w:fldCharType="end"/>
            </w:r>
          </w:hyperlink>
        </w:p>
        <w:p w14:paraId="2BB7020A" w14:textId="3B6D6B96" w:rsidR="000F3F4B" w:rsidRDefault="00B17C18">
          <w:pPr>
            <w:pStyle w:val="Spistreci2"/>
            <w:rPr>
              <w:rFonts w:asciiTheme="minorHAnsi" w:eastAsiaTheme="minorEastAsia" w:hAnsiTheme="minorHAnsi" w:cstheme="minorBidi"/>
              <w:noProof/>
              <w:kern w:val="2"/>
              <w:sz w:val="24"/>
              <w:szCs w:val="24"/>
              <w:lang w:eastAsia="pl-PL"/>
              <w14:ligatures w14:val="standardContextual"/>
            </w:rPr>
          </w:pPr>
          <w:hyperlink w:anchor="_Toc176241613" w:history="1">
            <w:r w:rsidR="000F3F4B" w:rsidRPr="00954114">
              <w:rPr>
                <w:rStyle w:val="Hipercze"/>
                <w:noProof/>
              </w:rPr>
              <w:t>1.3</w:t>
            </w:r>
            <w:r w:rsidR="000F3F4B">
              <w:rPr>
                <w:rFonts w:asciiTheme="minorHAnsi" w:eastAsiaTheme="minorEastAsia" w:hAnsiTheme="minorHAnsi" w:cstheme="minorBidi"/>
                <w:noProof/>
                <w:kern w:val="2"/>
                <w:sz w:val="24"/>
                <w:szCs w:val="24"/>
                <w:lang w:eastAsia="pl-PL"/>
                <w14:ligatures w14:val="standardContextual"/>
              </w:rPr>
              <w:tab/>
            </w:r>
            <w:r w:rsidR="000F3F4B" w:rsidRPr="00954114">
              <w:rPr>
                <w:rStyle w:val="Hipercze"/>
                <w:noProof/>
              </w:rPr>
              <w:t>Sektory i regiony w modelu</w:t>
            </w:r>
            <w:r w:rsidR="000F3F4B">
              <w:rPr>
                <w:noProof/>
                <w:webHidden/>
              </w:rPr>
              <w:tab/>
            </w:r>
            <w:r w:rsidR="000F3F4B">
              <w:rPr>
                <w:noProof/>
                <w:webHidden/>
              </w:rPr>
              <w:fldChar w:fldCharType="begin"/>
            </w:r>
            <w:r w:rsidR="000F3F4B">
              <w:rPr>
                <w:noProof/>
                <w:webHidden/>
              </w:rPr>
              <w:instrText xml:space="preserve"> PAGEREF _Toc176241613 \h </w:instrText>
            </w:r>
            <w:r w:rsidR="000F3F4B">
              <w:rPr>
                <w:noProof/>
                <w:webHidden/>
              </w:rPr>
            </w:r>
            <w:r w:rsidR="000F3F4B">
              <w:rPr>
                <w:noProof/>
                <w:webHidden/>
              </w:rPr>
              <w:fldChar w:fldCharType="separate"/>
            </w:r>
            <w:r w:rsidR="008D0336">
              <w:rPr>
                <w:noProof/>
                <w:webHidden/>
              </w:rPr>
              <w:t>14</w:t>
            </w:r>
            <w:r w:rsidR="000F3F4B">
              <w:rPr>
                <w:noProof/>
                <w:webHidden/>
              </w:rPr>
              <w:fldChar w:fldCharType="end"/>
            </w:r>
          </w:hyperlink>
        </w:p>
        <w:p w14:paraId="26D5F3A1" w14:textId="5236D2D3" w:rsidR="000F3F4B" w:rsidRDefault="00B17C18">
          <w:pPr>
            <w:pStyle w:val="Spistreci2"/>
            <w:rPr>
              <w:rFonts w:asciiTheme="minorHAnsi" w:eastAsiaTheme="minorEastAsia" w:hAnsiTheme="minorHAnsi" w:cstheme="minorBidi"/>
              <w:noProof/>
              <w:kern w:val="2"/>
              <w:sz w:val="24"/>
              <w:szCs w:val="24"/>
              <w:lang w:eastAsia="pl-PL"/>
              <w14:ligatures w14:val="standardContextual"/>
            </w:rPr>
          </w:pPr>
          <w:hyperlink w:anchor="_Toc176241614" w:history="1">
            <w:r w:rsidR="000F3F4B" w:rsidRPr="00954114">
              <w:rPr>
                <w:rStyle w:val="Hipercze"/>
                <w:noProof/>
              </w:rPr>
              <w:t>1.4</w:t>
            </w:r>
            <w:r w:rsidR="000F3F4B">
              <w:rPr>
                <w:rFonts w:asciiTheme="minorHAnsi" w:eastAsiaTheme="minorEastAsia" w:hAnsiTheme="minorHAnsi" w:cstheme="minorBidi"/>
                <w:noProof/>
                <w:kern w:val="2"/>
                <w:sz w:val="24"/>
                <w:szCs w:val="24"/>
                <w:lang w:eastAsia="pl-PL"/>
                <w14:ligatures w14:val="standardContextual"/>
              </w:rPr>
              <w:tab/>
            </w:r>
            <w:r w:rsidR="000F3F4B" w:rsidRPr="00954114">
              <w:rPr>
                <w:rStyle w:val="Hipercze"/>
                <w:noProof/>
              </w:rPr>
              <w:t>Parametryzacja</w:t>
            </w:r>
            <w:r w:rsidR="000F3F4B">
              <w:rPr>
                <w:noProof/>
                <w:webHidden/>
              </w:rPr>
              <w:tab/>
            </w:r>
            <w:r w:rsidR="000F3F4B">
              <w:rPr>
                <w:noProof/>
                <w:webHidden/>
              </w:rPr>
              <w:fldChar w:fldCharType="begin"/>
            </w:r>
            <w:r w:rsidR="000F3F4B">
              <w:rPr>
                <w:noProof/>
                <w:webHidden/>
              </w:rPr>
              <w:instrText xml:space="preserve"> PAGEREF _Toc176241614 \h </w:instrText>
            </w:r>
            <w:r w:rsidR="000F3F4B">
              <w:rPr>
                <w:noProof/>
                <w:webHidden/>
              </w:rPr>
            </w:r>
            <w:r w:rsidR="000F3F4B">
              <w:rPr>
                <w:noProof/>
                <w:webHidden/>
              </w:rPr>
              <w:fldChar w:fldCharType="separate"/>
            </w:r>
            <w:r w:rsidR="008D0336">
              <w:rPr>
                <w:noProof/>
                <w:webHidden/>
              </w:rPr>
              <w:t>15</w:t>
            </w:r>
            <w:r w:rsidR="000F3F4B">
              <w:rPr>
                <w:noProof/>
                <w:webHidden/>
              </w:rPr>
              <w:fldChar w:fldCharType="end"/>
            </w:r>
          </w:hyperlink>
        </w:p>
        <w:p w14:paraId="78F03197" w14:textId="3CBAB80B" w:rsidR="000F3F4B" w:rsidRDefault="00B17C18">
          <w:pPr>
            <w:pStyle w:val="Spistreci2"/>
            <w:rPr>
              <w:rFonts w:asciiTheme="minorHAnsi" w:eastAsiaTheme="minorEastAsia" w:hAnsiTheme="minorHAnsi" w:cstheme="minorBidi"/>
              <w:noProof/>
              <w:kern w:val="2"/>
              <w:sz w:val="24"/>
              <w:szCs w:val="24"/>
              <w:lang w:eastAsia="pl-PL"/>
              <w14:ligatures w14:val="standardContextual"/>
            </w:rPr>
          </w:pPr>
          <w:hyperlink w:anchor="_Toc176241615" w:history="1">
            <w:r w:rsidR="000F3F4B" w:rsidRPr="00954114">
              <w:rPr>
                <w:rStyle w:val="Hipercze"/>
                <w:noProof/>
              </w:rPr>
              <w:t>1.5</w:t>
            </w:r>
            <w:r w:rsidR="000F3F4B">
              <w:rPr>
                <w:rFonts w:asciiTheme="minorHAnsi" w:eastAsiaTheme="minorEastAsia" w:hAnsiTheme="minorHAnsi" w:cstheme="minorBidi"/>
                <w:noProof/>
                <w:kern w:val="2"/>
                <w:sz w:val="24"/>
                <w:szCs w:val="24"/>
                <w:lang w:eastAsia="pl-PL"/>
                <w14:ligatures w14:val="standardContextual"/>
              </w:rPr>
              <w:tab/>
            </w:r>
            <w:r w:rsidR="000F3F4B" w:rsidRPr="00954114">
              <w:rPr>
                <w:rStyle w:val="Hipercze"/>
                <w:noProof/>
              </w:rPr>
              <w:t>Wykorzystywane dane</w:t>
            </w:r>
            <w:r w:rsidR="000F3F4B">
              <w:rPr>
                <w:noProof/>
                <w:webHidden/>
              </w:rPr>
              <w:tab/>
            </w:r>
            <w:r w:rsidR="000F3F4B">
              <w:rPr>
                <w:noProof/>
                <w:webHidden/>
              </w:rPr>
              <w:fldChar w:fldCharType="begin"/>
            </w:r>
            <w:r w:rsidR="000F3F4B">
              <w:rPr>
                <w:noProof/>
                <w:webHidden/>
              </w:rPr>
              <w:instrText xml:space="preserve"> PAGEREF _Toc176241615 \h </w:instrText>
            </w:r>
            <w:r w:rsidR="000F3F4B">
              <w:rPr>
                <w:noProof/>
                <w:webHidden/>
              </w:rPr>
            </w:r>
            <w:r w:rsidR="000F3F4B">
              <w:rPr>
                <w:noProof/>
                <w:webHidden/>
              </w:rPr>
              <w:fldChar w:fldCharType="separate"/>
            </w:r>
            <w:r w:rsidR="008D0336">
              <w:rPr>
                <w:noProof/>
                <w:webHidden/>
              </w:rPr>
              <w:t>16</w:t>
            </w:r>
            <w:r w:rsidR="000F3F4B">
              <w:rPr>
                <w:noProof/>
                <w:webHidden/>
              </w:rPr>
              <w:fldChar w:fldCharType="end"/>
            </w:r>
          </w:hyperlink>
        </w:p>
        <w:p w14:paraId="31AB6059" w14:textId="0898A6D2" w:rsidR="000F3F4B" w:rsidRDefault="00B17C18">
          <w:pPr>
            <w:pStyle w:val="Spistreci2"/>
            <w:rPr>
              <w:rFonts w:asciiTheme="minorHAnsi" w:eastAsiaTheme="minorEastAsia" w:hAnsiTheme="minorHAnsi" w:cstheme="minorBidi"/>
              <w:noProof/>
              <w:kern w:val="2"/>
              <w:sz w:val="24"/>
              <w:szCs w:val="24"/>
              <w:lang w:eastAsia="pl-PL"/>
              <w14:ligatures w14:val="standardContextual"/>
            </w:rPr>
          </w:pPr>
          <w:hyperlink w:anchor="_Toc176241616" w:history="1">
            <w:r w:rsidR="000F3F4B" w:rsidRPr="00954114">
              <w:rPr>
                <w:rStyle w:val="Hipercze"/>
                <w:noProof/>
              </w:rPr>
              <w:t>1.6</w:t>
            </w:r>
            <w:r w:rsidR="000F3F4B">
              <w:rPr>
                <w:rFonts w:asciiTheme="minorHAnsi" w:eastAsiaTheme="minorEastAsia" w:hAnsiTheme="minorHAnsi" w:cstheme="minorBidi"/>
                <w:noProof/>
                <w:kern w:val="2"/>
                <w:sz w:val="24"/>
                <w:szCs w:val="24"/>
                <w:lang w:eastAsia="pl-PL"/>
                <w14:ligatures w14:val="standardContextual"/>
              </w:rPr>
              <w:tab/>
            </w:r>
            <w:r w:rsidR="000F3F4B" w:rsidRPr="00954114">
              <w:rPr>
                <w:rStyle w:val="Hipercze"/>
                <w:noProof/>
              </w:rPr>
              <w:t>Szacowane efekty oddziaływania funduszy UE</w:t>
            </w:r>
            <w:r w:rsidR="000F3F4B">
              <w:rPr>
                <w:noProof/>
                <w:webHidden/>
              </w:rPr>
              <w:tab/>
            </w:r>
            <w:r w:rsidR="000F3F4B">
              <w:rPr>
                <w:noProof/>
                <w:webHidden/>
              </w:rPr>
              <w:fldChar w:fldCharType="begin"/>
            </w:r>
            <w:r w:rsidR="000F3F4B">
              <w:rPr>
                <w:noProof/>
                <w:webHidden/>
              </w:rPr>
              <w:instrText xml:space="preserve"> PAGEREF _Toc176241616 \h </w:instrText>
            </w:r>
            <w:r w:rsidR="000F3F4B">
              <w:rPr>
                <w:noProof/>
                <w:webHidden/>
              </w:rPr>
            </w:r>
            <w:r w:rsidR="000F3F4B">
              <w:rPr>
                <w:noProof/>
                <w:webHidden/>
              </w:rPr>
              <w:fldChar w:fldCharType="separate"/>
            </w:r>
            <w:r w:rsidR="008D0336">
              <w:rPr>
                <w:noProof/>
                <w:webHidden/>
              </w:rPr>
              <w:t>17</w:t>
            </w:r>
            <w:r w:rsidR="000F3F4B">
              <w:rPr>
                <w:noProof/>
                <w:webHidden/>
              </w:rPr>
              <w:fldChar w:fldCharType="end"/>
            </w:r>
          </w:hyperlink>
        </w:p>
        <w:p w14:paraId="169BFECA" w14:textId="24A49180" w:rsidR="000F3F4B" w:rsidRDefault="00B17C18">
          <w:pPr>
            <w:pStyle w:val="Spistreci1"/>
            <w:rPr>
              <w:rFonts w:asciiTheme="minorHAnsi" w:eastAsiaTheme="minorEastAsia" w:hAnsiTheme="minorHAnsi" w:cstheme="minorBidi"/>
              <w:b w:val="0"/>
              <w:kern w:val="2"/>
              <w:sz w:val="24"/>
              <w:szCs w:val="24"/>
              <w:lang w:eastAsia="pl-PL"/>
              <w14:ligatures w14:val="standardContextual"/>
            </w:rPr>
          </w:pPr>
          <w:hyperlink w:anchor="_Toc176241617" w:history="1">
            <w:r w:rsidR="000F3F4B" w:rsidRPr="00954114">
              <w:rPr>
                <w:rStyle w:val="Hipercze"/>
              </w:rPr>
              <w:t>2.</w:t>
            </w:r>
            <w:r w:rsidR="000F3F4B">
              <w:rPr>
                <w:rFonts w:asciiTheme="minorHAnsi" w:eastAsiaTheme="minorEastAsia" w:hAnsiTheme="minorHAnsi" w:cstheme="minorBidi"/>
                <w:b w:val="0"/>
                <w:kern w:val="2"/>
                <w:sz w:val="24"/>
                <w:szCs w:val="24"/>
                <w:lang w:eastAsia="pl-PL"/>
                <w14:ligatures w14:val="standardContextual"/>
              </w:rPr>
              <w:tab/>
            </w:r>
            <w:r w:rsidR="000F3F4B" w:rsidRPr="00954114">
              <w:rPr>
                <w:rStyle w:val="Hipercze"/>
              </w:rPr>
              <w:t>Założenia makroekonomiczne i finansowe</w:t>
            </w:r>
            <w:r w:rsidR="000F3F4B">
              <w:rPr>
                <w:webHidden/>
              </w:rPr>
              <w:tab/>
            </w:r>
            <w:r w:rsidR="000F3F4B">
              <w:rPr>
                <w:webHidden/>
              </w:rPr>
              <w:fldChar w:fldCharType="begin"/>
            </w:r>
            <w:r w:rsidR="000F3F4B">
              <w:rPr>
                <w:webHidden/>
              </w:rPr>
              <w:instrText xml:space="preserve"> PAGEREF _Toc176241617 \h </w:instrText>
            </w:r>
            <w:r w:rsidR="000F3F4B">
              <w:rPr>
                <w:webHidden/>
              </w:rPr>
            </w:r>
            <w:r w:rsidR="000F3F4B">
              <w:rPr>
                <w:webHidden/>
              </w:rPr>
              <w:fldChar w:fldCharType="separate"/>
            </w:r>
            <w:r w:rsidR="008D0336">
              <w:rPr>
                <w:webHidden/>
              </w:rPr>
              <w:t>18</w:t>
            </w:r>
            <w:r w:rsidR="000F3F4B">
              <w:rPr>
                <w:webHidden/>
              </w:rPr>
              <w:fldChar w:fldCharType="end"/>
            </w:r>
          </w:hyperlink>
        </w:p>
        <w:p w14:paraId="798A57A8" w14:textId="3AA98990" w:rsidR="000F3F4B" w:rsidRDefault="00B17C18">
          <w:pPr>
            <w:pStyle w:val="Spistreci2"/>
            <w:rPr>
              <w:rFonts w:asciiTheme="minorHAnsi" w:eastAsiaTheme="minorEastAsia" w:hAnsiTheme="minorHAnsi" w:cstheme="minorBidi"/>
              <w:noProof/>
              <w:kern w:val="2"/>
              <w:sz w:val="24"/>
              <w:szCs w:val="24"/>
              <w:lang w:eastAsia="pl-PL"/>
              <w14:ligatures w14:val="standardContextual"/>
            </w:rPr>
          </w:pPr>
          <w:hyperlink w:anchor="_Toc176241618" w:history="1">
            <w:r w:rsidR="000F3F4B" w:rsidRPr="00954114">
              <w:rPr>
                <w:rStyle w:val="Hipercze"/>
                <w:noProof/>
              </w:rPr>
              <w:t>2.1</w:t>
            </w:r>
            <w:r w:rsidR="000F3F4B">
              <w:rPr>
                <w:rFonts w:asciiTheme="minorHAnsi" w:eastAsiaTheme="minorEastAsia" w:hAnsiTheme="minorHAnsi" w:cstheme="minorBidi"/>
                <w:noProof/>
                <w:kern w:val="2"/>
                <w:sz w:val="24"/>
                <w:szCs w:val="24"/>
                <w:lang w:eastAsia="pl-PL"/>
                <w14:ligatures w14:val="standardContextual"/>
              </w:rPr>
              <w:tab/>
            </w:r>
            <w:r w:rsidR="000F3F4B" w:rsidRPr="00954114">
              <w:rPr>
                <w:rStyle w:val="Hipercze"/>
                <w:noProof/>
              </w:rPr>
              <w:t>Scenariusz odniesienia</w:t>
            </w:r>
            <w:r w:rsidR="000F3F4B">
              <w:rPr>
                <w:noProof/>
                <w:webHidden/>
              </w:rPr>
              <w:tab/>
            </w:r>
            <w:r w:rsidR="000F3F4B">
              <w:rPr>
                <w:noProof/>
                <w:webHidden/>
              </w:rPr>
              <w:fldChar w:fldCharType="begin"/>
            </w:r>
            <w:r w:rsidR="000F3F4B">
              <w:rPr>
                <w:noProof/>
                <w:webHidden/>
              </w:rPr>
              <w:instrText xml:space="preserve"> PAGEREF _Toc176241618 \h </w:instrText>
            </w:r>
            <w:r w:rsidR="000F3F4B">
              <w:rPr>
                <w:noProof/>
                <w:webHidden/>
              </w:rPr>
            </w:r>
            <w:r w:rsidR="000F3F4B">
              <w:rPr>
                <w:noProof/>
                <w:webHidden/>
              </w:rPr>
              <w:fldChar w:fldCharType="separate"/>
            </w:r>
            <w:r w:rsidR="008D0336">
              <w:rPr>
                <w:noProof/>
                <w:webHidden/>
              </w:rPr>
              <w:t>18</w:t>
            </w:r>
            <w:r w:rsidR="000F3F4B">
              <w:rPr>
                <w:noProof/>
                <w:webHidden/>
              </w:rPr>
              <w:fldChar w:fldCharType="end"/>
            </w:r>
          </w:hyperlink>
        </w:p>
        <w:p w14:paraId="4B51C4C9" w14:textId="7D0539D0" w:rsidR="000F3F4B" w:rsidRDefault="00B17C18">
          <w:pPr>
            <w:pStyle w:val="Spistreci2"/>
            <w:rPr>
              <w:rFonts w:asciiTheme="minorHAnsi" w:eastAsiaTheme="minorEastAsia" w:hAnsiTheme="minorHAnsi" w:cstheme="minorBidi"/>
              <w:noProof/>
              <w:kern w:val="2"/>
              <w:sz w:val="24"/>
              <w:szCs w:val="24"/>
              <w:lang w:eastAsia="pl-PL"/>
              <w14:ligatures w14:val="standardContextual"/>
            </w:rPr>
          </w:pPr>
          <w:hyperlink w:anchor="_Toc176241619" w:history="1">
            <w:r w:rsidR="000F3F4B" w:rsidRPr="00954114">
              <w:rPr>
                <w:rStyle w:val="Hipercze"/>
                <w:noProof/>
              </w:rPr>
              <w:t>2.2</w:t>
            </w:r>
            <w:r w:rsidR="000F3F4B">
              <w:rPr>
                <w:rFonts w:asciiTheme="minorHAnsi" w:eastAsiaTheme="minorEastAsia" w:hAnsiTheme="minorHAnsi" w:cstheme="minorBidi"/>
                <w:noProof/>
                <w:kern w:val="2"/>
                <w:sz w:val="24"/>
                <w:szCs w:val="24"/>
                <w:lang w:eastAsia="pl-PL"/>
                <w14:ligatures w14:val="standardContextual"/>
              </w:rPr>
              <w:tab/>
            </w:r>
            <w:r w:rsidR="000F3F4B" w:rsidRPr="00954114">
              <w:rPr>
                <w:rStyle w:val="Hipercze"/>
                <w:noProof/>
              </w:rPr>
              <w:t>Wydatkowanie funduszy UE</w:t>
            </w:r>
            <w:r w:rsidR="000F3F4B">
              <w:rPr>
                <w:noProof/>
                <w:webHidden/>
              </w:rPr>
              <w:tab/>
            </w:r>
            <w:r w:rsidR="000F3F4B">
              <w:rPr>
                <w:noProof/>
                <w:webHidden/>
              </w:rPr>
              <w:fldChar w:fldCharType="begin"/>
            </w:r>
            <w:r w:rsidR="000F3F4B">
              <w:rPr>
                <w:noProof/>
                <w:webHidden/>
              </w:rPr>
              <w:instrText xml:space="preserve"> PAGEREF _Toc176241619 \h </w:instrText>
            </w:r>
            <w:r w:rsidR="000F3F4B">
              <w:rPr>
                <w:noProof/>
                <w:webHidden/>
              </w:rPr>
            </w:r>
            <w:r w:rsidR="000F3F4B">
              <w:rPr>
                <w:noProof/>
                <w:webHidden/>
              </w:rPr>
              <w:fldChar w:fldCharType="separate"/>
            </w:r>
            <w:r w:rsidR="008D0336">
              <w:rPr>
                <w:noProof/>
                <w:webHidden/>
              </w:rPr>
              <w:t>19</w:t>
            </w:r>
            <w:r w:rsidR="000F3F4B">
              <w:rPr>
                <w:noProof/>
                <w:webHidden/>
              </w:rPr>
              <w:fldChar w:fldCharType="end"/>
            </w:r>
          </w:hyperlink>
        </w:p>
        <w:p w14:paraId="1AF73D7F" w14:textId="1A457A8C" w:rsidR="000F3F4B" w:rsidRDefault="00B17C18">
          <w:pPr>
            <w:pStyle w:val="Spistreci1"/>
            <w:rPr>
              <w:rFonts w:asciiTheme="minorHAnsi" w:eastAsiaTheme="minorEastAsia" w:hAnsiTheme="minorHAnsi" w:cstheme="minorBidi"/>
              <w:b w:val="0"/>
              <w:kern w:val="2"/>
              <w:sz w:val="24"/>
              <w:szCs w:val="24"/>
              <w:lang w:eastAsia="pl-PL"/>
              <w14:ligatures w14:val="standardContextual"/>
            </w:rPr>
          </w:pPr>
          <w:hyperlink w:anchor="_Toc176241620" w:history="1">
            <w:r w:rsidR="000F3F4B" w:rsidRPr="00954114">
              <w:rPr>
                <w:rStyle w:val="Hipercze"/>
              </w:rPr>
              <w:t>3.</w:t>
            </w:r>
            <w:r w:rsidR="000F3F4B">
              <w:rPr>
                <w:rFonts w:asciiTheme="minorHAnsi" w:eastAsiaTheme="minorEastAsia" w:hAnsiTheme="minorHAnsi" w:cstheme="minorBidi"/>
                <w:b w:val="0"/>
                <w:kern w:val="2"/>
                <w:sz w:val="24"/>
                <w:szCs w:val="24"/>
                <w:lang w:eastAsia="pl-PL"/>
                <w14:ligatures w14:val="standardContextual"/>
              </w:rPr>
              <w:tab/>
            </w:r>
            <w:r w:rsidR="000F3F4B" w:rsidRPr="00954114">
              <w:rPr>
                <w:rStyle w:val="Hipercze"/>
              </w:rPr>
              <w:t>Wyniki badania – z uwzględnieniem poziomu krajowego oraz regionalnego</w:t>
            </w:r>
            <w:r w:rsidR="000F3F4B">
              <w:rPr>
                <w:webHidden/>
              </w:rPr>
              <w:tab/>
            </w:r>
            <w:r w:rsidR="000F3F4B">
              <w:rPr>
                <w:webHidden/>
              </w:rPr>
              <w:fldChar w:fldCharType="begin"/>
            </w:r>
            <w:r w:rsidR="000F3F4B">
              <w:rPr>
                <w:webHidden/>
              </w:rPr>
              <w:instrText xml:space="preserve"> PAGEREF _Toc176241620 \h </w:instrText>
            </w:r>
            <w:r w:rsidR="000F3F4B">
              <w:rPr>
                <w:webHidden/>
              </w:rPr>
            </w:r>
            <w:r w:rsidR="000F3F4B">
              <w:rPr>
                <w:webHidden/>
              </w:rPr>
              <w:fldChar w:fldCharType="separate"/>
            </w:r>
            <w:r w:rsidR="008D0336">
              <w:rPr>
                <w:webHidden/>
              </w:rPr>
              <w:t>21</w:t>
            </w:r>
            <w:r w:rsidR="000F3F4B">
              <w:rPr>
                <w:webHidden/>
              </w:rPr>
              <w:fldChar w:fldCharType="end"/>
            </w:r>
          </w:hyperlink>
        </w:p>
        <w:p w14:paraId="19FEE8E3" w14:textId="22266647" w:rsidR="000F3F4B" w:rsidRDefault="00B17C18">
          <w:pPr>
            <w:pStyle w:val="Spistreci2"/>
            <w:rPr>
              <w:rFonts w:asciiTheme="minorHAnsi" w:eastAsiaTheme="minorEastAsia" w:hAnsiTheme="minorHAnsi" w:cstheme="minorBidi"/>
              <w:noProof/>
              <w:kern w:val="2"/>
              <w:sz w:val="24"/>
              <w:szCs w:val="24"/>
              <w:lang w:eastAsia="pl-PL"/>
              <w14:ligatures w14:val="standardContextual"/>
            </w:rPr>
          </w:pPr>
          <w:hyperlink w:anchor="_Toc176241621" w:history="1">
            <w:r w:rsidR="000F3F4B" w:rsidRPr="00954114">
              <w:rPr>
                <w:rStyle w:val="Hipercze"/>
                <w:noProof/>
              </w:rPr>
              <w:t>3.1</w:t>
            </w:r>
            <w:r w:rsidR="000F3F4B">
              <w:rPr>
                <w:rFonts w:asciiTheme="minorHAnsi" w:eastAsiaTheme="minorEastAsia" w:hAnsiTheme="minorHAnsi" w:cstheme="minorBidi"/>
                <w:noProof/>
                <w:kern w:val="2"/>
                <w:sz w:val="24"/>
                <w:szCs w:val="24"/>
                <w:lang w:eastAsia="pl-PL"/>
                <w14:ligatures w14:val="standardContextual"/>
              </w:rPr>
              <w:tab/>
            </w:r>
            <w:r w:rsidR="000F3F4B" w:rsidRPr="00954114">
              <w:rPr>
                <w:rStyle w:val="Hipercze"/>
                <w:noProof/>
              </w:rPr>
              <w:t>Wpływ na PKB</w:t>
            </w:r>
            <w:r w:rsidR="000F3F4B">
              <w:rPr>
                <w:noProof/>
                <w:webHidden/>
              </w:rPr>
              <w:tab/>
            </w:r>
            <w:r w:rsidR="000F3F4B">
              <w:rPr>
                <w:noProof/>
                <w:webHidden/>
              </w:rPr>
              <w:fldChar w:fldCharType="begin"/>
            </w:r>
            <w:r w:rsidR="000F3F4B">
              <w:rPr>
                <w:noProof/>
                <w:webHidden/>
              </w:rPr>
              <w:instrText xml:space="preserve"> PAGEREF _Toc176241621 \h </w:instrText>
            </w:r>
            <w:r w:rsidR="000F3F4B">
              <w:rPr>
                <w:noProof/>
                <w:webHidden/>
              </w:rPr>
            </w:r>
            <w:r w:rsidR="000F3F4B">
              <w:rPr>
                <w:noProof/>
                <w:webHidden/>
              </w:rPr>
              <w:fldChar w:fldCharType="separate"/>
            </w:r>
            <w:r w:rsidR="008D0336">
              <w:rPr>
                <w:noProof/>
                <w:webHidden/>
              </w:rPr>
              <w:t>21</w:t>
            </w:r>
            <w:r w:rsidR="000F3F4B">
              <w:rPr>
                <w:noProof/>
                <w:webHidden/>
              </w:rPr>
              <w:fldChar w:fldCharType="end"/>
            </w:r>
          </w:hyperlink>
        </w:p>
        <w:p w14:paraId="63390555" w14:textId="78E2074F" w:rsidR="000F3F4B" w:rsidRDefault="00B17C18">
          <w:pPr>
            <w:pStyle w:val="Spistreci2"/>
            <w:rPr>
              <w:rFonts w:asciiTheme="minorHAnsi" w:eastAsiaTheme="minorEastAsia" w:hAnsiTheme="minorHAnsi" w:cstheme="minorBidi"/>
              <w:noProof/>
              <w:kern w:val="2"/>
              <w:sz w:val="24"/>
              <w:szCs w:val="24"/>
              <w:lang w:eastAsia="pl-PL"/>
              <w14:ligatures w14:val="standardContextual"/>
            </w:rPr>
          </w:pPr>
          <w:hyperlink w:anchor="_Toc176241622" w:history="1">
            <w:r w:rsidR="000F3F4B" w:rsidRPr="00954114">
              <w:rPr>
                <w:rStyle w:val="Hipercze"/>
                <w:noProof/>
              </w:rPr>
              <w:t>3.2</w:t>
            </w:r>
            <w:r w:rsidR="000F3F4B">
              <w:rPr>
                <w:rFonts w:asciiTheme="minorHAnsi" w:eastAsiaTheme="minorEastAsia" w:hAnsiTheme="minorHAnsi" w:cstheme="minorBidi"/>
                <w:noProof/>
                <w:kern w:val="2"/>
                <w:sz w:val="24"/>
                <w:szCs w:val="24"/>
                <w:lang w:eastAsia="pl-PL"/>
                <w14:ligatures w14:val="standardContextual"/>
              </w:rPr>
              <w:tab/>
            </w:r>
            <w:r w:rsidR="000F3F4B" w:rsidRPr="00954114">
              <w:rPr>
                <w:rStyle w:val="Hipercze"/>
                <w:noProof/>
              </w:rPr>
              <w:t>Wpływ na PKB per capita</w:t>
            </w:r>
            <w:r w:rsidR="000F3F4B">
              <w:rPr>
                <w:noProof/>
                <w:webHidden/>
              </w:rPr>
              <w:tab/>
            </w:r>
            <w:r w:rsidR="000F3F4B">
              <w:rPr>
                <w:noProof/>
                <w:webHidden/>
              </w:rPr>
              <w:fldChar w:fldCharType="begin"/>
            </w:r>
            <w:r w:rsidR="000F3F4B">
              <w:rPr>
                <w:noProof/>
                <w:webHidden/>
              </w:rPr>
              <w:instrText xml:space="preserve"> PAGEREF _Toc176241622 \h </w:instrText>
            </w:r>
            <w:r w:rsidR="000F3F4B">
              <w:rPr>
                <w:noProof/>
                <w:webHidden/>
              </w:rPr>
            </w:r>
            <w:r w:rsidR="000F3F4B">
              <w:rPr>
                <w:noProof/>
                <w:webHidden/>
              </w:rPr>
              <w:fldChar w:fldCharType="separate"/>
            </w:r>
            <w:r w:rsidR="008D0336">
              <w:rPr>
                <w:noProof/>
                <w:webHidden/>
              </w:rPr>
              <w:t>24</w:t>
            </w:r>
            <w:r w:rsidR="000F3F4B">
              <w:rPr>
                <w:noProof/>
                <w:webHidden/>
              </w:rPr>
              <w:fldChar w:fldCharType="end"/>
            </w:r>
          </w:hyperlink>
        </w:p>
        <w:p w14:paraId="1D8E88EA" w14:textId="0B42FD46" w:rsidR="000F3F4B" w:rsidRDefault="00B17C18">
          <w:pPr>
            <w:pStyle w:val="Spistreci2"/>
            <w:rPr>
              <w:rFonts w:asciiTheme="minorHAnsi" w:eastAsiaTheme="minorEastAsia" w:hAnsiTheme="minorHAnsi" w:cstheme="minorBidi"/>
              <w:noProof/>
              <w:kern w:val="2"/>
              <w:sz w:val="24"/>
              <w:szCs w:val="24"/>
              <w:lang w:eastAsia="pl-PL"/>
              <w14:ligatures w14:val="standardContextual"/>
            </w:rPr>
          </w:pPr>
          <w:hyperlink w:anchor="_Toc176241623" w:history="1">
            <w:r w:rsidR="000F3F4B" w:rsidRPr="00954114">
              <w:rPr>
                <w:rStyle w:val="Hipercze"/>
                <w:noProof/>
              </w:rPr>
              <w:t>3.3</w:t>
            </w:r>
            <w:r w:rsidR="000F3F4B">
              <w:rPr>
                <w:rFonts w:asciiTheme="minorHAnsi" w:eastAsiaTheme="minorEastAsia" w:hAnsiTheme="minorHAnsi" w:cstheme="minorBidi"/>
                <w:noProof/>
                <w:kern w:val="2"/>
                <w:sz w:val="24"/>
                <w:szCs w:val="24"/>
                <w:lang w:eastAsia="pl-PL"/>
                <w14:ligatures w14:val="standardContextual"/>
              </w:rPr>
              <w:tab/>
            </w:r>
            <w:r w:rsidR="000F3F4B" w:rsidRPr="00954114">
              <w:rPr>
                <w:rStyle w:val="Hipercze"/>
                <w:noProof/>
              </w:rPr>
              <w:t>Wpływ na zróżnicowanie regionalne PKB per capita</w:t>
            </w:r>
            <w:r w:rsidR="000F3F4B">
              <w:rPr>
                <w:noProof/>
                <w:webHidden/>
              </w:rPr>
              <w:tab/>
            </w:r>
            <w:r w:rsidR="000F3F4B">
              <w:rPr>
                <w:noProof/>
                <w:webHidden/>
              </w:rPr>
              <w:fldChar w:fldCharType="begin"/>
            </w:r>
            <w:r w:rsidR="000F3F4B">
              <w:rPr>
                <w:noProof/>
                <w:webHidden/>
              </w:rPr>
              <w:instrText xml:space="preserve"> PAGEREF _Toc176241623 \h </w:instrText>
            </w:r>
            <w:r w:rsidR="000F3F4B">
              <w:rPr>
                <w:noProof/>
                <w:webHidden/>
              </w:rPr>
            </w:r>
            <w:r w:rsidR="000F3F4B">
              <w:rPr>
                <w:noProof/>
                <w:webHidden/>
              </w:rPr>
              <w:fldChar w:fldCharType="separate"/>
            </w:r>
            <w:r w:rsidR="008D0336">
              <w:rPr>
                <w:noProof/>
                <w:webHidden/>
              </w:rPr>
              <w:t>27</w:t>
            </w:r>
            <w:r w:rsidR="000F3F4B">
              <w:rPr>
                <w:noProof/>
                <w:webHidden/>
              </w:rPr>
              <w:fldChar w:fldCharType="end"/>
            </w:r>
          </w:hyperlink>
        </w:p>
        <w:p w14:paraId="0027363A" w14:textId="42FDD25A" w:rsidR="000F3F4B" w:rsidRDefault="00B17C18">
          <w:pPr>
            <w:pStyle w:val="Spistreci2"/>
            <w:rPr>
              <w:rFonts w:asciiTheme="minorHAnsi" w:eastAsiaTheme="minorEastAsia" w:hAnsiTheme="minorHAnsi" w:cstheme="minorBidi"/>
              <w:noProof/>
              <w:kern w:val="2"/>
              <w:sz w:val="24"/>
              <w:szCs w:val="24"/>
              <w:lang w:eastAsia="pl-PL"/>
              <w14:ligatures w14:val="standardContextual"/>
            </w:rPr>
          </w:pPr>
          <w:hyperlink w:anchor="_Toc176241624" w:history="1">
            <w:r w:rsidR="000F3F4B" w:rsidRPr="00954114">
              <w:rPr>
                <w:rStyle w:val="Hipercze"/>
                <w:noProof/>
              </w:rPr>
              <w:t>3.4</w:t>
            </w:r>
            <w:r w:rsidR="000F3F4B">
              <w:rPr>
                <w:rFonts w:asciiTheme="minorHAnsi" w:eastAsiaTheme="minorEastAsia" w:hAnsiTheme="minorHAnsi" w:cstheme="minorBidi"/>
                <w:noProof/>
                <w:kern w:val="2"/>
                <w:sz w:val="24"/>
                <w:szCs w:val="24"/>
                <w:lang w:eastAsia="pl-PL"/>
                <w14:ligatures w14:val="standardContextual"/>
              </w:rPr>
              <w:tab/>
            </w:r>
            <w:r w:rsidR="000F3F4B" w:rsidRPr="00954114">
              <w:rPr>
                <w:rStyle w:val="Hipercze"/>
                <w:noProof/>
              </w:rPr>
              <w:t>Wpływ na inwestycje</w:t>
            </w:r>
            <w:r w:rsidR="000F3F4B">
              <w:rPr>
                <w:noProof/>
                <w:webHidden/>
              </w:rPr>
              <w:tab/>
            </w:r>
            <w:r w:rsidR="000F3F4B">
              <w:rPr>
                <w:noProof/>
                <w:webHidden/>
              </w:rPr>
              <w:fldChar w:fldCharType="begin"/>
            </w:r>
            <w:r w:rsidR="000F3F4B">
              <w:rPr>
                <w:noProof/>
                <w:webHidden/>
              </w:rPr>
              <w:instrText xml:space="preserve"> PAGEREF _Toc176241624 \h </w:instrText>
            </w:r>
            <w:r w:rsidR="000F3F4B">
              <w:rPr>
                <w:noProof/>
                <w:webHidden/>
              </w:rPr>
            </w:r>
            <w:r w:rsidR="000F3F4B">
              <w:rPr>
                <w:noProof/>
                <w:webHidden/>
              </w:rPr>
              <w:fldChar w:fldCharType="separate"/>
            </w:r>
            <w:r w:rsidR="008D0336">
              <w:rPr>
                <w:noProof/>
                <w:webHidden/>
              </w:rPr>
              <w:t>27</w:t>
            </w:r>
            <w:r w:rsidR="000F3F4B">
              <w:rPr>
                <w:noProof/>
                <w:webHidden/>
              </w:rPr>
              <w:fldChar w:fldCharType="end"/>
            </w:r>
          </w:hyperlink>
        </w:p>
        <w:p w14:paraId="7B5811E7" w14:textId="48517741" w:rsidR="000F3F4B" w:rsidRDefault="00B17C18">
          <w:pPr>
            <w:pStyle w:val="Spistreci2"/>
            <w:rPr>
              <w:rFonts w:asciiTheme="minorHAnsi" w:eastAsiaTheme="minorEastAsia" w:hAnsiTheme="minorHAnsi" w:cstheme="minorBidi"/>
              <w:noProof/>
              <w:kern w:val="2"/>
              <w:sz w:val="24"/>
              <w:szCs w:val="24"/>
              <w:lang w:eastAsia="pl-PL"/>
              <w14:ligatures w14:val="standardContextual"/>
            </w:rPr>
          </w:pPr>
          <w:hyperlink w:anchor="_Toc176241625" w:history="1">
            <w:r w:rsidR="000F3F4B" w:rsidRPr="00954114">
              <w:rPr>
                <w:rStyle w:val="Hipercze"/>
                <w:noProof/>
              </w:rPr>
              <w:t>3.5</w:t>
            </w:r>
            <w:r w:rsidR="000F3F4B">
              <w:rPr>
                <w:rFonts w:asciiTheme="minorHAnsi" w:eastAsiaTheme="minorEastAsia" w:hAnsiTheme="minorHAnsi" w:cstheme="minorBidi"/>
                <w:noProof/>
                <w:kern w:val="2"/>
                <w:sz w:val="24"/>
                <w:szCs w:val="24"/>
                <w:lang w:eastAsia="pl-PL"/>
                <w14:ligatures w14:val="standardContextual"/>
              </w:rPr>
              <w:tab/>
            </w:r>
            <w:r w:rsidR="000F3F4B" w:rsidRPr="00954114">
              <w:rPr>
                <w:rStyle w:val="Hipercze"/>
                <w:noProof/>
              </w:rPr>
              <w:t>Wydatki na B+R</w:t>
            </w:r>
            <w:r w:rsidR="000F3F4B">
              <w:rPr>
                <w:noProof/>
                <w:webHidden/>
              </w:rPr>
              <w:tab/>
            </w:r>
            <w:r w:rsidR="000F3F4B">
              <w:rPr>
                <w:noProof/>
                <w:webHidden/>
              </w:rPr>
              <w:fldChar w:fldCharType="begin"/>
            </w:r>
            <w:r w:rsidR="000F3F4B">
              <w:rPr>
                <w:noProof/>
                <w:webHidden/>
              </w:rPr>
              <w:instrText xml:space="preserve"> PAGEREF _Toc176241625 \h </w:instrText>
            </w:r>
            <w:r w:rsidR="000F3F4B">
              <w:rPr>
                <w:noProof/>
                <w:webHidden/>
              </w:rPr>
            </w:r>
            <w:r w:rsidR="000F3F4B">
              <w:rPr>
                <w:noProof/>
                <w:webHidden/>
              </w:rPr>
              <w:fldChar w:fldCharType="separate"/>
            </w:r>
            <w:r w:rsidR="008D0336">
              <w:rPr>
                <w:noProof/>
                <w:webHidden/>
              </w:rPr>
              <w:t>29</w:t>
            </w:r>
            <w:r w:rsidR="000F3F4B">
              <w:rPr>
                <w:noProof/>
                <w:webHidden/>
              </w:rPr>
              <w:fldChar w:fldCharType="end"/>
            </w:r>
          </w:hyperlink>
        </w:p>
        <w:p w14:paraId="7CB3CC04" w14:textId="59C32648" w:rsidR="000F3F4B" w:rsidRDefault="00B17C18">
          <w:pPr>
            <w:pStyle w:val="Spistreci2"/>
            <w:rPr>
              <w:rFonts w:asciiTheme="minorHAnsi" w:eastAsiaTheme="minorEastAsia" w:hAnsiTheme="minorHAnsi" w:cstheme="minorBidi"/>
              <w:noProof/>
              <w:kern w:val="2"/>
              <w:sz w:val="24"/>
              <w:szCs w:val="24"/>
              <w:lang w:eastAsia="pl-PL"/>
              <w14:ligatures w14:val="standardContextual"/>
            </w:rPr>
          </w:pPr>
          <w:hyperlink w:anchor="_Toc176241626" w:history="1">
            <w:r w:rsidR="000F3F4B" w:rsidRPr="00954114">
              <w:rPr>
                <w:rStyle w:val="Hipercze"/>
                <w:noProof/>
              </w:rPr>
              <w:t>3.6</w:t>
            </w:r>
            <w:r w:rsidR="000F3F4B">
              <w:rPr>
                <w:rFonts w:asciiTheme="minorHAnsi" w:eastAsiaTheme="minorEastAsia" w:hAnsiTheme="minorHAnsi" w:cstheme="minorBidi"/>
                <w:noProof/>
                <w:kern w:val="2"/>
                <w:sz w:val="24"/>
                <w:szCs w:val="24"/>
                <w:lang w:eastAsia="pl-PL"/>
                <w14:ligatures w14:val="standardContextual"/>
              </w:rPr>
              <w:tab/>
            </w:r>
            <w:r w:rsidR="000F3F4B" w:rsidRPr="00954114">
              <w:rPr>
                <w:rStyle w:val="Hipercze"/>
                <w:noProof/>
              </w:rPr>
              <w:t>Wpływ na zatrudnienie</w:t>
            </w:r>
            <w:r w:rsidR="000F3F4B">
              <w:rPr>
                <w:noProof/>
                <w:webHidden/>
              </w:rPr>
              <w:tab/>
            </w:r>
            <w:r w:rsidR="000F3F4B">
              <w:rPr>
                <w:noProof/>
                <w:webHidden/>
              </w:rPr>
              <w:fldChar w:fldCharType="begin"/>
            </w:r>
            <w:r w:rsidR="000F3F4B">
              <w:rPr>
                <w:noProof/>
                <w:webHidden/>
              </w:rPr>
              <w:instrText xml:space="preserve"> PAGEREF _Toc176241626 \h </w:instrText>
            </w:r>
            <w:r w:rsidR="000F3F4B">
              <w:rPr>
                <w:noProof/>
                <w:webHidden/>
              </w:rPr>
            </w:r>
            <w:r w:rsidR="000F3F4B">
              <w:rPr>
                <w:noProof/>
                <w:webHidden/>
              </w:rPr>
              <w:fldChar w:fldCharType="separate"/>
            </w:r>
            <w:r w:rsidR="008D0336">
              <w:rPr>
                <w:noProof/>
                <w:webHidden/>
              </w:rPr>
              <w:t>31</w:t>
            </w:r>
            <w:r w:rsidR="000F3F4B">
              <w:rPr>
                <w:noProof/>
                <w:webHidden/>
              </w:rPr>
              <w:fldChar w:fldCharType="end"/>
            </w:r>
          </w:hyperlink>
        </w:p>
        <w:p w14:paraId="18A6C2D8" w14:textId="48DC5796" w:rsidR="000F3F4B" w:rsidRDefault="00B17C18">
          <w:pPr>
            <w:pStyle w:val="Spistreci2"/>
            <w:rPr>
              <w:rFonts w:asciiTheme="minorHAnsi" w:eastAsiaTheme="minorEastAsia" w:hAnsiTheme="minorHAnsi" w:cstheme="minorBidi"/>
              <w:noProof/>
              <w:kern w:val="2"/>
              <w:sz w:val="24"/>
              <w:szCs w:val="24"/>
              <w:lang w:eastAsia="pl-PL"/>
              <w14:ligatures w14:val="standardContextual"/>
            </w:rPr>
          </w:pPr>
          <w:hyperlink w:anchor="_Toc176241627" w:history="1">
            <w:r w:rsidR="000F3F4B" w:rsidRPr="00954114">
              <w:rPr>
                <w:rStyle w:val="Hipercze"/>
                <w:noProof/>
              </w:rPr>
              <w:t>3.7</w:t>
            </w:r>
            <w:r w:rsidR="000F3F4B">
              <w:rPr>
                <w:rFonts w:asciiTheme="minorHAnsi" w:eastAsiaTheme="minorEastAsia" w:hAnsiTheme="minorHAnsi" w:cstheme="minorBidi"/>
                <w:noProof/>
                <w:kern w:val="2"/>
                <w:sz w:val="24"/>
                <w:szCs w:val="24"/>
                <w:lang w:eastAsia="pl-PL"/>
                <w14:ligatures w14:val="standardContextual"/>
              </w:rPr>
              <w:tab/>
            </w:r>
            <w:r w:rsidR="000F3F4B" w:rsidRPr="00954114">
              <w:rPr>
                <w:rStyle w:val="Hipercze"/>
                <w:noProof/>
              </w:rPr>
              <w:t>Wpływ na bezrobocie</w:t>
            </w:r>
            <w:r w:rsidR="000F3F4B">
              <w:rPr>
                <w:noProof/>
                <w:webHidden/>
              </w:rPr>
              <w:tab/>
            </w:r>
            <w:r w:rsidR="000F3F4B">
              <w:rPr>
                <w:noProof/>
                <w:webHidden/>
              </w:rPr>
              <w:fldChar w:fldCharType="begin"/>
            </w:r>
            <w:r w:rsidR="000F3F4B">
              <w:rPr>
                <w:noProof/>
                <w:webHidden/>
              </w:rPr>
              <w:instrText xml:space="preserve"> PAGEREF _Toc176241627 \h </w:instrText>
            </w:r>
            <w:r w:rsidR="000F3F4B">
              <w:rPr>
                <w:noProof/>
                <w:webHidden/>
              </w:rPr>
            </w:r>
            <w:r w:rsidR="000F3F4B">
              <w:rPr>
                <w:noProof/>
                <w:webHidden/>
              </w:rPr>
              <w:fldChar w:fldCharType="separate"/>
            </w:r>
            <w:r w:rsidR="008D0336">
              <w:rPr>
                <w:noProof/>
                <w:webHidden/>
              </w:rPr>
              <w:t>33</w:t>
            </w:r>
            <w:r w:rsidR="000F3F4B">
              <w:rPr>
                <w:noProof/>
                <w:webHidden/>
              </w:rPr>
              <w:fldChar w:fldCharType="end"/>
            </w:r>
          </w:hyperlink>
        </w:p>
        <w:p w14:paraId="508DA904" w14:textId="43EE4D17" w:rsidR="000F3F4B" w:rsidRDefault="00B17C18">
          <w:pPr>
            <w:pStyle w:val="Spistreci2"/>
            <w:rPr>
              <w:rFonts w:asciiTheme="minorHAnsi" w:eastAsiaTheme="minorEastAsia" w:hAnsiTheme="minorHAnsi" w:cstheme="minorBidi"/>
              <w:noProof/>
              <w:kern w:val="2"/>
              <w:sz w:val="24"/>
              <w:szCs w:val="24"/>
              <w:lang w:eastAsia="pl-PL"/>
              <w14:ligatures w14:val="standardContextual"/>
            </w:rPr>
          </w:pPr>
          <w:hyperlink w:anchor="_Toc176241628" w:history="1">
            <w:r w:rsidR="000F3F4B" w:rsidRPr="00954114">
              <w:rPr>
                <w:rStyle w:val="Hipercze"/>
                <w:noProof/>
              </w:rPr>
              <w:t>3.8</w:t>
            </w:r>
            <w:r w:rsidR="000F3F4B">
              <w:rPr>
                <w:rFonts w:asciiTheme="minorHAnsi" w:eastAsiaTheme="minorEastAsia" w:hAnsiTheme="minorHAnsi" w:cstheme="minorBidi"/>
                <w:noProof/>
                <w:kern w:val="2"/>
                <w:sz w:val="24"/>
                <w:szCs w:val="24"/>
                <w:lang w:eastAsia="pl-PL"/>
                <w14:ligatures w14:val="standardContextual"/>
              </w:rPr>
              <w:tab/>
            </w:r>
            <w:r w:rsidR="000F3F4B" w:rsidRPr="00954114">
              <w:rPr>
                <w:rStyle w:val="Hipercze"/>
                <w:noProof/>
              </w:rPr>
              <w:t>Wpływ na produktywność pracy i dochody</w:t>
            </w:r>
            <w:r w:rsidR="000F3F4B">
              <w:rPr>
                <w:noProof/>
                <w:webHidden/>
              </w:rPr>
              <w:tab/>
            </w:r>
            <w:r w:rsidR="000F3F4B">
              <w:rPr>
                <w:noProof/>
                <w:webHidden/>
              </w:rPr>
              <w:fldChar w:fldCharType="begin"/>
            </w:r>
            <w:r w:rsidR="000F3F4B">
              <w:rPr>
                <w:noProof/>
                <w:webHidden/>
              </w:rPr>
              <w:instrText xml:space="preserve"> PAGEREF _Toc176241628 \h </w:instrText>
            </w:r>
            <w:r w:rsidR="000F3F4B">
              <w:rPr>
                <w:noProof/>
                <w:webHidden/>
              </w:rPr>
            </w:r>
            <w:r w:rsidR="000F3F4B">
              <w:rPr>
                <w:noProof/>
                <w:webHidden/>
              </w:rPr>
              <w:fldChar w:fldCharType="separate"/>
            </w:r>
            <w:r w:rsidR="008D0336">
              <w:rPr>
                <w:noProof/>
                <w:webHidden/>
              </w:rPr>
              <w:t>35</w:t>
            </w:r>
            <w:r w:rsidR="000F3F4B">
              <w:rPr>
                <w:noProof/>
                <w:webHidden/>
              </w:rPr>
              <w:fldChar w:fldCharType="end"/>
            </w:r>
          </w:hyperlink>
        </w:p>
        <w:p w14:paraId="6599E268" w14:textId="12FD12FB" w:rsidR="000F3F4B" w:rsidRDefault="00B17C18">
          <w:pPr>
            <w:pStyle w:val="Spistreci2"/>
            <w:rPr>
              <w:rFonts w:asciiTheme="minorHAnsi" w:eastAsiaTheme="minorEastAsia" w:hAnsiTheme="minorHAnsi" w:cstheme="minorBidi"/>
              <w:noProof/>
              <w:kern w:val="2"/>
              <w:sz w:val="24"/>
              <w:szCs w:val="24"/>
              <w:lang w:eastAsia="pl-PL"/>
              <w14:ligatures w14:val="standardContextual"/>
            </w:rPr>
          </w:pPr>
          <w:hyperlink w:anchor="_Toc176241629" w:history="1">
            <w:r w:rsidR="000F3F4B" w:rsidRPr="00954114">
              <w:rPr>
                <w:rStyle w:val="Hipercze"/>
                <w:noProof/>
              </w:rPr>
              <w:t>3.9</w:t>
            </w:r>
            <w:r w:rsidR="000F3F4B">
              <w:rPr>
                <w:rFonts w:asciiTheme="minorHAnsi" w:eastAsiaTheme="minorEastAsia" w:hAnsiTheme="minorHAnsi" w:cstheme="minorBidi"/>
                <w:noProof/>
                <w:kern w:val="2"/>
                <w:sz w:val="24"/>
                <w:szCs w:val="24"/>
                <w:lang w:eastAsia="pl-PL"/>
                <w14:ligatures w14:val="standardContextual"/>
              </w:rPr>
              <w:tab/>
            </w:r>
            <w:r w:rsidR="000F3F4B" w:rsidRPr="00954114">
              <w:rPr>
                <w:rStyle w:val="Hipercze"/>
                <w:noProof/>
              </w:rPr>
              <w:t>Wpływ na nierówności i ubóstwo</w:t>
            </w:r>
            <w:r w:rsidR="000F3F4B">
              <w:rPr>
                <w:noProof/>
                <w:webHidden/>
              </w:rPr>
              <w:tab/>
            </w:r>
            <w:r w:rsidR="000F3F4B">
              <w:rPr>
                <w:noProof/>
                <w:webHidden/>
              </w:rPr>
              <w:fldChar w:fldCharType="begin"/>
            </w:r>
            <w:r w:rsidR="000F3F4B">
              <w:rPr>
                <w:noProof/>
                <w:webHidden/>
              </w:rPr>
              <w:instrText xml:space="preserve"> PAGEREF _Toc176241629 \h </w:instrText>
            </w:r>
            <w:r w:rsidR="000F3F4B">
              <w:rPr>
                <w:noProof/>
                <w:webHidden/>
              </w:rPr>
            </w:r>
            <w:r w:rsidR="000F3F4B">
              <w:rPr>
                <w:noProof/>
                <w:webHidden/>
              </w:rPr>
              <w:fldChar w:fldCharType="separate"/>
            </w:r>
            <w:r w:rsidR="008D0336">
              <w:rPr>
                <w:noProof/>
                <w:webHidden/>
              </w:rPr>
              <w:t>37</w:t>
            </w:r>
            <w:r w:rsidR="000F3F4B">
              <w:rPr>
                <w:noProof/>
                <w:webHidden/>
              </w:rPr>
              <w:fldChar w:fldCharType="end"/>
            </w:r>
          </w:hyperlink>
        </w:p>
        <w:p w14:paraId="5B8F9575" w14:textId="47813A5B" w:rsidR="000F3F4B" w:rsidRDefault="00B17C18">
          <w:pPr>
            <w:pStyle w:val="Spistreci2"/>
            <w:rPr>
              <w:rFonts w:asciiTheme="minorHAnsi" w:eastAsiaTheme="minorEastAsia" w:hAnsiTheme="minorHAnsi" w:cstheme="minorBidi"/>
              <w:noProof/>
              <w:kern w:val="2"/>
              <w:sz w:val="24"/>
              <w:szCs w:val="24"/>
              <w:lang w:eastAsia="pl-PL"/>
              <w14:ligatures w14:val="standardContextual"/>
            </w:rPr>
          </w:pPr>
          <w:hyperlink w:anchor="_Toc176241630" w:history="1">
            <w:r w:rsidR="000F3F4B" w:rsidRPr="00954114">
              <w:rPr>
                <w:rStyle w:val="Hipercze"/>
                <w:noProof/>
              </w:rPr>
              <w:t>3.10</w:t>
            </w:r>
            <w:r w:rsidR="000F3F4B">
              <w:rPr>
                <w:rFonts w:asciiTheme="minorHAnsi" w:eastAsiaTheme="minorEastAsia" w:hAnsiTheme="minorHAnsi" w:cstheme="minorBidi"/>
                <w:noProof/>
                <w:kern w:val="2"/>
                <w:sz w:val="24"/>
                <w:szCs w:val="24"/>
                <w:lang w:eastAsia="pl-PL"/>
                <w14:ligatures w14:val="standardContextual"/>
              </w:rPr>
              <w:tab/>
            </w:r>
            <w:r w:rsidR="000F3F4B" w:rsidRPr="00954114">
              <w:rPr>
                <w:rStyle w:val="Hipercze"/>
                <w:noProof/>
              </w:rPr>
              <w:t>Wpływ na finanse publiczne</w:t>
            </w:r>
            <w:r w:rsidR="000F3F4B">
              <w:rPr>
                <w:noProof/>
                <w:webHidden/>
              </w:rPr>
              <w:tab/>
            </w:r>
            <w:r w:rsidR="000F3F4B">
              <w:rPr>
                <w:noProof/>
                <w:webHidden/>
              </w:rPr>
              <w:fldChar w:fldCharType="begin"/>
            </w:r>
            <w:r w:rsidR="000F3F4B">
              <w:rPr>
                <w:noProof/>
                <w:webHidden/>
              </w:rPr>
              <w:instrText xml:space="preserve"> PAGEREF _Toc176241630 \h </w:instrText>
            </w:r>
            <w:r w:rsidR="000F3F4B">
              <w:rPr>
                <w:noProof/>
                <w:webHidden/>
              </w:rPr>
            </w:r>
            <w:r w:rsidR="000F3F4B">
              <w:rPr>
                <w:noProof/>
                <w:webHidden/>
              </w:rPr>
              <w:fldChar w:fldCharType="separate"/>
            </w:r>
            <w:r w:rsidR="008D0336">
              <w:rPr>
                <w:noProof/>
                <w:webHidden/>
              </w:rPr>
              <w:t>39</w:t>
            </w:r>
            <w:r w:rsidR="000F3F4B">
              <w:rPr>
                <w:noProof/>
                <w:webHidden/>
              </w:rPr>
              <w:fldChar w:fldCharType="end"/>
            </w:r>
          </w:hyperlink>
        </w:p>
        <w:p w14:paraId="2E659600" w14:textId="1CE7B895" w:rsidR="000F3F4B" w:rsidRDefault="00B17C18">
          <w:pPr>
            <w:pStyle w:val="Spistreci2"/>
            <w:rPr>
              <w:rFonts w:asciiTheme="minorHAnsi" w:eastAsiaTheme="minorEastAsia" w:hAnsiTheme="minorHAnsi" w:cstheme="minorBidi"/>
              <w:noProof/>
              <w:kern w:val="2"/>
              <w:sz w:val="24"/>
              <w:szCs w:val="24"/>
              <w:lang w:eastAsia="pl-PL"/>
              <w14:ligatures w14:val="standardContextual"/>
            </w:rPr>
          </w:pPr>
          <w:hyperlink w:anchor="_Toc176241631" w:history="1">
            <w:r w:rsidR="000F3F4B" w:rsidRPr="00954114">
              <w:rPr>
                <w:rStyle w:val="Hipercze"/>
                <w:noProof/>
              </w:rPr>
              <w:t>3.11</w:t>
            </w:r>
            <w:r w:rsidR="000F3F4B">
              <w:rPr>
                <w:rFonts w:asciiTheme="minorHAnsi" w:eastAsiaTheme="minorEastAsia" w:hAnsiTheme="minorHAnsi" w:cstheme="minorBidi"/>
                <w:noProof/>
                <w:kern w:val="2"/>
                <w:sz w:val="24"/>
                <w:szCs w:val="24"/>
                <w:lang w:eastAsia="pl-PL"/>
                <w14:ligatures w14:val="standardContextual"/>
              </w:rPr>
              <w:tab/>
            </w:r>
            <w:r w:rsidR="000F3F4B" w:rsidRPr="00954114">
              <w:rPr>
                <w:rStyle w:val="Hipercze"/>
                <w:noProof/>
              </w:rPr>
              <w:t>Wpływ na handel zagraniczny</w:t>
            </w:r>
            <w:r w:rsidR="000F3F4B">
              <w:rPr>
                <w:noProof/>
                <w:webHidden/>
              </w:rPr>
              <w:tab/>
            </w:r>
            <w:r w:rsidR="000F3F4B">
              <w:rPr>
                <w:noProof/>
                <w:webHidden/>
              </w:rPr>
              <w:fldChar w:fldCharType="begin"/>
            </w:r>
            <w:r w:rsidR="000F3F4B">
              <w:rPr>
                <w:noProof/>
                <w:webHidden/>
              </w:rPr>
              <w:instrText xml:space="preserve"> PAGEREF _Toc176241631 \h </w:instrText>
            </w:r>
            <w:r w:rsidR="000F3F4B">
              <w:rPr>
                <w:noProof/>
                <w:webHidden/>
              </w:rPr>
            </w:r>
            <w:r w:rsidR="000F3F4B">
              <w:rPr>
                <w:noProof/>
                <w:webHidden/>
              </w:rPr>
              <w:fldChar w:fldCharType="separate"/>
            </w:r>
            <w:r w:rsidR="008D0336">
              <w:rPr>
                <w:noProof/>
                <w:webHidden/>
              </w:rPr>
              <w:t>41</w:t>
            </w:r>
            <w:r w:rsidR="000F3F4B">
              <w:rPr>
                <w:noProof/>
                <w:webHidden/>
              </w:rPr>
              <w:fldChar w:fldCharType="end"/>
            </w:r>
          </w:hyperlink>
        </w:p>
        <w:p w14:paraId="0A385871" w14:textId="361C1D97" w:rsidR="000F3F4B" w:rsidRDefault="00B17C18">
          <w:pPr>
            <w:pStyle w:val="Spistreci1"/>
            <w:rPr>
              <w:rFonts w:asciiTheme="minorHAnsi" w:eastAsiaTheme="minorEastAsia" w:hAnsiTheme="minorHAnsi" w:cstheme="minorBidi"/>
              <w:b w:val="0"/>
              <w:kern w:val="2"/>
              <w:sz w:val="24"/>
              <w:szCs w:val="24"/>
              <w:lang w:eastAsia="pl-PL"/>
              <w14:ligatures w14:val="standardContextual"/>
            </w:rPr>
          </w:pPr>
          <w:hyperlink w:anchor="_Toc176241632" w:history="1">
            <w:r w:rsidR="000F3F4B" w:rsidRPr="00954114">
              <w:rPr>
                <w:rStyle w:val="Hipercze"/>
              </w:rPr>
              <w:t>4.</w:t>
            </w:r>
            <w:r w:rsidR="000F3F4B">
              <w:rPr>
                <w:rFonts w:asciiTheme="minorHAnsi" w:eastAsiaTheme="minorEastAsia" w:hAnsiTheme="minorHAnsi" w:cstheme="minorBidi"/>
                <w:b w:val="0"/>
                <w:kern w:val="2"/>
                <w:sz w:val="24"/>
                <w:szCs w:val="24"/>
                <w:lang w:eastAsia="pl-PL"/>
                <w14:ligatures w14:val="standardContextual"/>
              </w:rPr>
              <w:tab/>
            </w:r>
            <w:r w:rsidR="000F3F4B" w:rsidRPr="00954114">
              <w:rPr>
                <w:rStyle w:val="Hipercze"/>
              </w:rPr>
              <w:t>Wnioski i rekomendacje</w:t>
            </w:r>
            <w:r w:rsidR="000F3F4B">
              <w:rPr>
                <w:webHidden/>
              </w:rPr>
              <w:tab/>
            </w:r>
            <w:r w:rsidR="000F3F4B">
              <w:rPr>
                <w:webHidden/>
              </w:rPr>
              <w:fldChar w:fldCharType="begin"/>
            </w:r>
            <w:r w:rsidR="000F3F4B">
              <w:rPr>
                <w:webHidden/>
              </w:rPr>
              <w:instrText xml:space="preserve"> PAGEREF _Toc176241632 \h </w:instrText>
            </w:r>
            <w:r w:rsidR="000F3F4B">
              <w:rPr>
                <w:webHidden/>
              </w:rPr>
            </w:r>
            <w:r w:rsidR="000F3F4B">
              <w:rPr>
                <w:webHidden/>
              </w:rPr>
              <w:fldChar w:fldCharType="separate"/>
            </w:r>
            <w:r w:rsidR="008D0336">
              <w:rPr>
                <w:webHidden/>
              </w:rPr>
              <w:t>43</w:t>
            </w:r>
            <w:r w:rsidR="000F3F4B">
              <w:rPr>
                <w:webHidden/>
              </w:rPr>
              <w:fldChar w:fldCharType="end"/>
            </w:r>
          </w:hyperlink>
        </w:p>
        <w:p w14:paraId="2EA5A3BE" w14:textId="10B19C33" w:rsidR="000F3F4B" w:rsidRDefault="00B17C18">
          <w:pPr>
            <w:pStyle w:val="Spistreci1"/>
            <w:rPr>
              <w:rFonts w:asciiTheme="minorHAnsi" w:eastAsiaTheme="minorEastAsia" w:hAnsiTheme="minorHAnsi" w:cstheme="minorBidi"/>
              <w:b w:val="0"/>
              <w:kern w:val="2"/>
              <w:sz w:val="24"/>
              <w:szCs w:val="24"/>
              <w:lang w:eastAsia="pl-PL"/>
              <w14:ligatures w14:val="standardContextual"/>
            </w:rPr>
          </w:pPr>
          <w:hyperlink w:anchor="_Toc176241633" w:history="1">
            <w:r w:rsidR="000F3F4B" w:rsidRPr="00954114">
              <w:rPr>
                <w:rStyle w:val="Hipercze"/>
                <w:lang w:val="de-DE"/>
              </w:rPr>
              <w:t>5.</w:t>
            </w:r>
            <w:r w:rsidR="000F3F4B">
              <w:rPr>
                <w:rFonts w:asciiTheme="minorHAnsi" w:eastAsiaTheme="minorEastAsia" w:hAnsiTheme="minorHAnsi" w:cstheme="minorBidi"/>
                <w:b w:val="0"/>
                <w:kern w:val="2"/>
                <w:sz w:val="24"/>
                <w:szCs w:val="24"/>
                <w:lang w:eastAsia="pl-PL"/>
                <w14:ligatures w14:val="standardContextual"/>
              </w:rPr>
              <w:tab/>
            </w:r>
            <w:r w:rsidR="000F3F4B" w:rsidRPr="00954114">
              <w:rPr>
                <w:rStyle w:val="Hipercze"/>
                <w:lang w:val="de-DE"/>
              </w:rPr>
              <w:t>Spis wykresów</w:t>
            </w:r>
            <w:r w:rsidR="000F3F4B">
              <w:rPr>
                <w:webHidden/>
              </w:rPr>
              <w:tab/>
            </w:r>
            <w:r w:rsidR="000F3F4B">
              <w:rPr>
                <w:webHidden/>
              </w:rPr>
              <w:fldChar w:fldCharType="begin"/>
            </w:r>
            <w:r w:rsidR="000F3F4B">
              <w:rPr>
                <w:webHidden/>
              </w:rPr>
              <w:instrText xml:space="preserve"> PAGEREF _Toc176241633 \h </w:instrText>
            </w:r>
            <w:r w:rsidR="000F3F4B">
              <w:rPr>
                <w:webHidden/>
              </w:rPr>
            </w:r>
            <w:r w:rsidR="000F3F4B">
              <w:rPr>
                <w:webHidden/>
              </w:rPr>
              <w:fldChar w:fldCharType="separate"/>
            </w:r>
            <w:r w:rsidR="008D0336">
              <w:rPr>
                <w:webHidden/>
              </w:rPr>
              <w:t>45</w:t>
            </w:r>
            <w:r w:rsidR="000F3F4B">
              <w:rPr>
                <w:webHidden/>
              </w:rPr>
              <w:fldChar w:fldCharType="end"/>
            </w:r>
          </w:hyperlink>
        </w:p>
        <w:p w14:paraId="23878ECF" w14:textId="6F2B876F" w:rsidR="000F3F4B" w:rsidRDefault="00B17C18">
          <w:pPr>
            <w:pStyle w:val="Spistreci1"/>
            <w:rPr>
              <w:rFonts w:asciiTheme="minorHAnsi" w:eastAsiaTheme="minorEastAsia" w:hAnsiTheme="minorHAnsi" w:cstheme="minorBidi"/>
              <w:b w:val="0"/>
              <w:kern w:val="2"/>
              <w:sz w:val="24"/>
              <w:szCs w:val="24"/>
              <w:lang w:eastAsia="pl-PL"/>
              <w14:ligatures w14:val="standardContextual"/>
            </w:rPr>
          </w:pPr>
          <w:hyperlink w:anchor="_Toc176241634" w:history="1">
            <w:r w:rsidR="000F3F4B" w:rsidRPr="00954114">
              <w:rPr>
                <w:rStyle w:val="Hipercze"/>
                <w:lang w:val="de-DE"/>
              </w:rPr>
              <w:t>6.</w:t>
            </w:r>
            <w:r w:rsidR="000F3F4B">
              <w:rPr>
                <w:rFonts w:asciiTheme="minorHAnsi" w:eastAsiaTheme="minorEastAsia" w:hAnsiTheme="minorHAnsi" w:cstheme="minorBidi"/>
                <w:b w:val="0"/>
                <w:kern w:val="2"/>
                <w:sz w:val="24"/>
                <w:szCs w:val="24"/>
                <w:lang w:eastAsia="pl-PL"/>
                <w14:ligatures w14:val="standardContextual"/>
              </w:rPr>
              <w:tab/>
            </w:r>
            <w:r w:rsidR="000F3F4B" w:rsidRPr="00954114">
              <w:rPr>
                <w:rStyle w:val="Hipercze"/>
                <w:lang w:val="de-DE"/>
              </w:rPr>
              <w:t>Spis map</w:t>
            </w:r>
            <w:r w:rsidR="000F3F4B">
              <w:rPr>
                <w:webHidden/>
              </w:rPr>
              <w:tab/>
            </w:r>
            <w:r w:rsidR="000F3F4B">
              <w:rPr>
                <w:webHidden/>
              </w:rPr>
              <w:fldChar w:fldCharType="begin"/>
            </w:r>
            <w:r w:rsidR="000F3F4B">
              <w:rPr>
                <w:webHidden/>
              </w:rPr>
              <w:instrText xml:space="preserve"> PAGEREF _Toc176241634 \h </w:instrText>
            </w:r>
            <w:r w:rsidR="000F3F4B">
              <w:rPr>
                <w:webHidden/>
              </w:rPr>
            </w:r>
            <w:r w:rsidR="000F3F4B">
              <w:rPr>
                <w:webHidden/>
              </w:rPr>
              <w:fldChar w:fldCharType="separate"/>
            </w:r>
            <w:r w:rsidR="008D0336">
              <w:rPr>
                <w:webHidden/>
              </w:rPr>
              <w:t>45</w:t>
            </w:r>
            <w:r w:rsidR="000F3F4B">
              <w:rPr>
                <w:webHidden/>
              </w:rPr>
              <w:fldChar w:fldCharType="end"/>
            </w:r>
          </w:hyperlink>
        </w:p>
        <w:p w14:paraId="227E6C6C" w14:textId="67A6CA53" w:rsidR="000F3F4B" w:rsidRDefault="00B17C18">
          <w:pPr>
            <w:pStyle w:val="Spistreci1"/>
            <w:rPr>
              <w:rFonts w:asciiTheme="minorHAnsi" w:eastAsiaTheme="minorEastAsia" w:hAnsiTheme="minorHAnsi" w:cstheme="minorBidi"/>
              <w:b w:val="0"/>
              <w:kern w:val="2"/>
              <w:sz w:val="24"/>
              <w:szCs w:val="24"/>
              <w:lang w:eastAsia="pl-PL"/>
              <w14:ligatures w14:val="standardContextual"/>
            </w:rPr>
          </w:pPr>
          <w:hyperlink w:anchor="_Toc176241635" w:history="1">
            <w:r w:rsidR="000F3F4B" w:rsidRPr="00954114">
              <w:rPr>
                <w:rStyle w:val="Hipercze"/>
                <w:lang w:val="de-DE"/>
              </w:rPr>
              <w:t>7.</w:t>
            </w:r>
            <w:r w:rsidR="000F3F4B">
              <w:rPr>
                <w:rFonts w:asciiTheme="minorHAnsi" w:eastAsiaTheme="minorEastAsia" w:hAnsiTheme="minorHAnsi" w:cstheme="minorBidi"/>
                <w:b w:val="0"/>
                <w:kern w:val="2"/>
                <w:sz w:val="24"/>
                <w:szCs w:val="24"/>
                <w:lang w:eastAsia="pl-PL"/>
                <w14:ligatures w14:val="standardContextual"/>
              </w:rPr>
              <w:tab/>
            </w:r>
            <w:r w:rsidR="000F3F4B" w:rsidRPr="00954114">
              <w:rPr>
                <w:rStyle w:val="Hipercze"/>
                <w:lang w:val="de-DE"/>
              </w:rPr>
              <w:t>Spis schematów</w:t>
            </w:r>
            <w:r w:rsidR="000F3F4B">
              <w:rPr>
                <w:webHidden/>
              </w:rPr>
              <w:tab/>
            </w:r>
            <w:r w:rsidR="000F3F4B">
              <w:rPr>
                <w:webHidden/>
              </w:rPr>
              <w:fldChar w:fldCharType="begin"/>
            </w:r>
            <w:r w:rsidR="000F3F4B">
              <w:rPr>
                <w:webHidden/>
              </w:rPr>
              <w:instrText xml:space="preserve"> PAGEREF _Toc176241635 \h </w:instrText>
            </w:r>
            <w:r w:rsidR="000F3F4B">
              <w:rPr>
                <w:webHidden/>
              </w:rPr>
            </w:r>
            <w:r w:rsidR="000F3F4B">
              <w:rPr>
                <w:webHidden/>
              </w:rPr>
              <w:fldChar w:fldCharType="separate"/>
            </w:r>
            <w:r w:rsidR="008D0336">
              <w:rPr>
                <w:webHidden/>
              </w:rPr>
              <w:t>46</w:t>
            </w:r>
            <w:r w:rsidR="000F3F4B">
              <w:rPr>
                <w:webHidden/>
              </w:rPr>
              <w:fldChar w:fldCharType="end"/>
            </w:r>
          </w:hyperlink>
        </w:p>
        <w:p w14:paraId="3A207A66" w14:textId="77777777" w:rsidR="000F3F4B" w:rsidRPr="00471B0B" w:rsidRDefault="000F3F4B" w:rsidP="000F3F4B">
          <w:pPr>
            <w:rPr>
              <w:rFonts w:asciiTheme="minorHAnsi" w:hAnsiTheme="minorHAnsi" w:cstheme="minorHAnsi"/>
            </w:rPr>
          </w:pPr>
          <w:r w:rsidRPr="004D4A84">
            <w:rPr>
              <w:rFonts w:ascii="Arial" w:hAnsi="Arial" w:cs="Arial"/>
              <w:b/>
              <w:bCs/>
            </w:rPr>
            <w:fldChar w:fldCharType="end"/>
          </w:r>
        </w:p>
      </w:sdtContent>
    </w:sdt>
    <w:p w14:paraId="0B046B28" w14:textId="77777777" w:rsidR="000F3F4B" w:rsidRPr="00471B0B" w:rsidRDefault="000F3F4B" w:rsidP="000F3F4B">
      <w:pPr>
        <w:spacing w:after="0"/>
        <w:jc w:val="left"/>
        <w:rPr>
          <w:rFonts w:asciiTheme="minorHAnsi" w:hAnsiTheme="minorHAnsi" w:cstheme="minorHAnsi"/>
        </w:rPr>
      </w:pPr>
      <w:r w:rsidRPr="00471B0B">
        <w:rPr>
          <w:rFonts w:asciiTheme="minorHAnsi" w:hAnsiTheme="minorHAnsi" w:cstheme="minorHAnsi"/>
        </w:rPr>
        <w:br w:type="page"/>
      </w:r>
    </w:p>
    <w:p w14:paraId="45BAF111" w14:textId="40662EBD" w:rsidR="009071BF" w:rsidRPr="005C3719" w:rsidRDefault="000F3F4B" w:rsidP="005D14BD">
      <w:pPr>
        <w:pStyle w:val="Styl2"/>
        <w:numPr>
          <w:ilvl w:val="0"/>
          <w:numId w:val="0"/>
        </w:numPr>
        <w:ind w:left="360" w:hanging="360"/>
        <w:rPr>
          <w:rFonts w:ascii="Arial" w:hAnsi="Arial" w:cs="Arial"/>
        </w:rPr>
      </w:pPr>
      <w:bookmarkStart w:id="2" w:name="_Toc176241608"/>
      <w:r w:rsidRPr="005C3719">
        <w:rPr>
          <w:rFonts w:ascii="Arial" w:hAnsi="Arial" w:cs="Arial"/>
          <w:caps w:val="0"/>
        </w:rPr>
        <w:lastRenderedPageBreak/>
        <w:t>Wykaz skrótów</w:t>
      </w:r>
      <w:bookmarkEnd w:id="1"/>
      <w:bookmarkEnd w:id="2"/>
    </w:p>
    <w:p w14:paraId="6C6E13B3" w14:textId="2AC3B3E8" w:rsidR="009071BF" w:rsidRPr="00C25C96" w:rsidRDefault="009071BF" w:rsidP="005C3719">
      <w:pPr>
        <w:spacing w:after="0" w:line="276" w:lineRule="auto"/>
        <w:rPr>
          <w:rFonts w:ascii="Arial" w:hAnsi="Arial" w:cs="Arial"/>
        </w:rPr>
      </w:pPr>
      <w:r w:rsidRPr="00C25C96">
        <w:rPr>
          <w:rFonts w:ascii="Arial" w:hAnsi="Arial" w:cs="Arial"/>
        </w:rPr>
        <w:t>B+R – działalność badawczo-rozwojowa</w:t>
      </w:r>
      <w:r w:rsidR="00D06075" w:rsidRPr="00C25C96">
        <w:rPr>
          <w:rFonts w:ascii="Arial" w:hAnsi="Arial" w:cs="Arial"/>
        </w:rPr>
        <w:t xml:space="preserve"> </w:t>
      </w:r>
    </w:p>
    <w:p w14:paraId="269A0A0E" w14:textId="33C53E82" w:rsidR="00F0745B" w:rsidRPr="00917386" w:rsidRDefault="00F0745B" w:rsidP="005C3719">
      <w:pPr>
        <w:spacing w:after="0" w:line="276" w:lineRule="auto"/>
        <w:rPr>
          <w:rFonts w:ascii="Arial" w:hAnsi="Arial" w:cs="Arial"/>
          <w:lang w:val="en-US"/>
        </w:rPr>
      </w:pPr>
      <w:r w:rsidRPr="00917386">
        <w:rPr>
          <w:rFonts w:ascii="Arial" w:hAnsi="Arial" w:cs="Arial"/>
          <w:lang w:val="en-US"/>
        </w:rPr>
        <w:t>BAU –</w:t>
      </w:r>
      <w:r w:rsidR="00EA3A36" w:rsidRPr="00917386">
        <w:rPr>
          <w:rFonts w:ascii="Arial" w:hAnsi="Arial" w:cs="Arial"/>
          <w:lang w:val="en-US"/>
        </w:rPr>
        <w:t xml:space="preserve"> </w:t>
      </w:r>
      <w:r w:rsidRPr="00917386">
        <w:rPr>
          <w:rFonts w:ascii="Arial" w:hAnsi="Arial" w:cs="Arial"/>
          <w:i/>
          <w:iCs/>
          <w:lang w:val="en-US"/>
        </w:rPr>
        <w:t>Business As Usual</w:t>
      </w:r>
      <w:r w:rsidR="00EA3A36" w:rsidRPr="00917386">
        <w:rPr>
          <w:rFonts w:ascii="Arial" w:hAnsi="Arial" w:cs="Arial"/>
          <w:i/>
          <w:iCs/>
          <w:lang w:val="en-US"/>
        </w:rPr>
        <w:t xml:space="preserve"> </w:t>
      </w:r>
      <w:r w:rsidR="00EA3A36" w:rsidRPr="00917386">
        <w:rPr>
          <w:rFonts w:ascii="Arial" w:hAnsi="Arial" w:cs="Arial"/>
          <w:lang w:val="en-US"/>
        </w:rPr>
        <w:t>– scenariusz referencyjny</w:t>
      </w:r>
    </w:p>
    <w:p w14:paraId="7B75BAC0" w14:textId="77777777" w:rsidR="004033AC" w:rsidRPr="00C25C96" w:rsidRDefault="79256494" w:rsidP="005C3719">
      <w:pPr>
        <w:spacing w:after="0" w:line="276" w:lineRule="auto"/>
        <w:rPr>
          <w:rFonts w:ascii="Arial" w:hAnsi="Arial" w:cs="Arial"/>
        </w:rPr>
      </w:pPr>
      <w:r w:rsidRPr="00C25C96">
        <w:rPr>
          <w:rFonts w:ascii="Arial" w:hAnsi="Arial" w:cs="Arial"/>
        </w:rPr>
        <w:t>BIZ – Bezpośrednie Inwestycje Zagraniczne</w:t>
      </w:r>
    </w:p>
    <w:p w14:paraId="7FB40B41" w14:textId="0CA148A6" w:rsidR="1F3DF1BF" w:rsidRPr="00C25C96" w:rsidRDefault="1F3DF1BF" w:rsidP="4A5201E7">
      <w:pPr>
        <w:spacing w:after="0" w:line="276" w:lineRule="auto"/>
        <w:rPr>
          <w:rFonts w:ascii="Arial" w:hAnsi="Arial" w:cs="Arial"/>
        </w:rPr>
      </w:pPr>
      <w:r w:rsidRPr="00C25C96">
        <w:rPr>
          <w:rFonts w:ascii="Arial" w:hAnsi="Arial" w:cs="Arial"/>
        </w:rPr>
        <w:t>BSP - bezpośrednie wsparcie przedsiębiorstw</w:t>
      </w:r>
    </w:p>
    <w:p w14:paraId="704E54E9" w14:textId="3740C171" w:rsidR="009071BF" w:rsidRPr="00C25C96" w:rsidRDefault="009071BF" w:rsidP="005C3719">
      <w:pPr>
        <w:spacing w:after="0" w:line="276" w:lineRule="auto"/>
        <w:rPr>
          <w:rFonts w:ascii="Arial" w:hAnsi="Arial" w:cs="Arial"/>
        </w:rPr>
      </w:pPr>
      <w:r w:rsidRPr="00C25C96">
        <w:rPr>
          <w:rFonts w:ascii="Arial" w:hAnsi="Arial" w:cs="Arial"/>
        </w:rPr>
        <w:t>DSGE – dynamiczna stochastyczna równowaga ogólna</w:t>
      </w:r>
    </w:p>
    <w:p w14:paraId="45DDEC44" w14:textId="77777777" w:rsidR="009071BF" w:rsidRPr="00C25C96" w:rsidRDefault="009071BF" w:rsidP="005C3719">
      <w:pPr>
        <w:spacing w:after="0" w:line="276" w:lineRule="auto"/>
        <w:rPr>
          <w:rFonts w:ascii="Arial" w:hAnsi="Arial" w:cs="Arial"/>
        </w:rPr>
      </w:pPr>
      <w:r w:rsidRPr="00C25C96">
        <w:rPr>
          <w:rFonts w:ascii="Arial" w:hAnsi="Arial" w:cs="Arial"/>
        </w:rPr>
        <w:t>EUROSTAT – Europejski Urząd Statystyczny</w:t>
      </w:r>
    </w:p>
    <w:p w14:paraId="24A1B23B" w14:textId="77777777" w:rsidR="009071BF" w:rsidRPr="00C25C96" w:rsidRDefault="62CC9706" w:rsidP="005C3719">
      <w:pPr>
        <w:spacing w:after="0" w:line="276" w:lineRule="auto"/>
        <w:rPr>
          <w:rFonts w:ascii="Arial" w:hAnsi="Arial" w:cs="Arial"/>
        </w:rPr>
      </w:pPr>
      <w:r w:rsidRPr="00C25C96">
        <w:rPr>
          <w:rFonts w:ascii="Arial" w:hAnsi="Arial" w:cs="Arial"/>
        </w:rPr>
        <w:t>GUS – Główny Urząd Statystyczny</w:t>
      </w:r>
    </w:p>
    <w:p w14:paraId="319B2B1A" w14:textId="5B2C9683" w:rsidR="58237A0B" w:rsidRPr="00C25C96" w:rsidRDefault="58237A0B" w:rsidP="4A5201E7">
      <w:pPr>
        <w:spacing w:after="0" w:line="276" w:lineRule="auto"/>
        <w:rPr>
          <w:rFonts w:ascii="Arial" w:hAnsi="Arial" w:cs="Arial"/>
        </w:rPr>
      </w:pPr>
      <w:r w:rsidRPr="00C25C96">
        <w:rPr>
          <w:rFonts w:ascii="Arial" w:hAnsi="Arial" w:cs="Arial"/>
        </w:rPr>
        <w:t>IP – infrastruktura podstawowa</w:t>
      </w:r>
    </w:p>
    <w:p w14:paraId="5DD26F4A" w14:textId="3A750431" w:rsidR="59C099B6" w:rsidRPr="00C25C96" w:rsidRDefault="59C099B6" w:rsidP="47BB536B">
      <w:pPr>
        <w:spacing w:after="0" w:line="276" w:lineRule="auto"/>
        <w:rPr>
          <w:rFonts w:ascii="Arial" w:hAnsi="Arial" w:cs="Arial"/>
        </w:rPr>
      </w:pPr>
      <w:r w:rsidRPr="00C25C96">
        <w:rPr>
          <w:rFonts w:ascii="Arial" w:hAnsi="Arial" w:cs="Arial"/>
        </w:rPr>
        <w:t>KPO – Krajowy Plan Odbudowy</w:t>
      </w:r>
      <w:r w:rsidR="00F20BE0" w:rsidRPr="00C25C96">
        <w:rPr>
          <w:rFonts w:ascii="Arial" w:hAnsi="Arial" w:cs="Arial"/>
        </w:rPr>
        <w:t xml:space="preserve"> i Zwiększania Odporności</w:t>
      </w:r>
    </w:p>
    <w:p w14:paraId="23900ABD" w14:textId="0D62966B" w:rsidR="00285CF7" w:rsidRPr="00C25C96" w:rsidRDefault="00285CF7" w:rsidP="47BB536B">
      <w:pPr>
        <w:spacing w:after="0" w:line="276" w:lineRule="auto"/>
        <w:rPr>
          <w:rFonts w:ascii="Arial" w:hAnsi="Arial" w:cs="Arial"/>
        </w:rPr>
      </w:pPr>
      <w:r w:rsidRPr="00C25C96">
        <w:rPr>
          <w:rFonts w:ascii="Arial" w:hAnsi="Arial" w:cs="Arial"/>
        </w:rPr>
        <w:t>KPRM – Kancelaria Prezesa Rady Ministrów</w:t>
      </w:r>
    </w:p>
    <w:p w14:paraId="7C0628D2" w14:textId="3D3C3497" w:rsidR="13B3C208" w:rsidRPr="00C25C96" w:rsidRDefault="13B3C208" w:rsidP="54471547">
      <w:pPr>
        <w:spacing w:after="0" w:line="276" w:lineRule="auto"/>
        <w:rPr>
          <w:rFonts w:ascii="Arial" w:hAnsi="Arial" w:cs="Arial"/>
        </w:rPr>
      </w:pPr>
      <w:r w:rsidRPr="00C25C96">
        <w:rPr>
          <w:rFonts w:ascii="Arial" w:hAnsi="Arial" w:cs="Arial"/>
        </w:rPr>
        <w:t>MFiPR – Ministerstwo Funduszy i Polityki Regionalnej</w:t>
      </w:r>
    </w:p>
    <w:p w14:paraId="456C0D97" w14:textId="2DF08DDD" w:rsidR="00242E14" w:rsidRPr="00C25C96" w:rsidRDefault="00242E14" w:rsidP="005C3719">
      <w:pPr>
        <w:spacing w:after="0" w:line="276" w:lineRule="auto"/>
        <w:rPr>
          <w:rFonts w:ascii="Arial" w:hAnsi="Arial" w:cs="Arial"/>
        </w:rPr>
      </w:pPr>
      <w:r w:rsidRPr="00C25C96">
        <w:rPr>
          <w:rFonts w:ascii="Arial" w:hAnsi="Arial" w:cs="Arial"/>
        </w:rPr>
        <w:t xml:space="preserve">NSS – </w:t>
      </w:r>
      <w:r w:rsidR="004033AC" w:rsidRPr="00C25C96">
        <w:rPr>
          <w:rFonts w:ascii="Arial" w:hAnsi="Arial" w:cs="Arial"/>
        </w:rPr>
        <w:t>Narodowa Strategia Spójności</w:t>
      </w:r>
    </w:p>
    <w:p w14:paraId="727E0E68" w14:textId="5E61BC12" w:rsidR="6D4104DC" w:rsidRPr="00C25C96" w:rsidRDefault="6D4104DC" w:rsidP="5C63A620">
      <w:pPr>
        <w:spacing w:after="0" w:line="276" w:lineRule="auto"/>
        <w:rPr>
          <w:rFonts w:ascii="Arial" w:hAnsi="Arial" w:cs="Arial"/>
        </w:rPr>
      </w:pPr>
      <w:r w:rsidRPr="00C25C96">
        <w:rPr>
          <w:rFonts w:ascii="Arial" w:hAnsi="Arial" w:cs="Arial"/>
        </w:rPr>
        <w:t>NPR</w:t>
      </w:r>
      <w:r w:rsidR="6E2C4059" w:rsidRPr="00C25C96">
        <w:rPr>
          <w:rFonts w:ascii="Arial" w:hAnsi="Arial" w:cs="Arial"/>
        </w:rPr>
        <w:t xml:space="preserve"> – Narodowy Plan Rozwoju</w:t>
      </w:r>
    </w:p>
    <w:p w14:paraId="55C320F7" w14:textId="5BA95D1B" w:rsidR="009071BF" w:rsidRPr="00C25C96" w:rsidRDefault="009071BF" w:rsidP="005C3719">
      <w:pPr>
        <w:spacing w:after="0" w:line="276" w:lineRule="auto"/>
        <w:rPr>
          <w:rFonts w:ascii="Arial" w:hAnsi="Arial" w:cs="Arial"/>
        </w:rPr>
      </w:pPr>
      <w:r w:rsidRPr="00C25C96">
        <w:rPr>
          <w:rFonts w:ascii="Arial" w:hAnsi="Arial" w:cs="Arial"/>
        </w:rPr>
        <w:t>NUTS – klasyfikacja jednostek terytorialnych do celów statystycznych (UE)</w:t>
      </w:r>
    </w:p>
    <w:p w14:paraId="39D4769A" w14:textId="5DF78057" w:rsidR="009071BF" w:rsidRPr="00C25C96" w:rsidRDefault="009071BF" w:rsidP="005C3719">
      <w:pPr>
        <w:spacing w:after="0" w:line="276" w:lineRule="auto"/>
        <w:rPr>
          <w:rFonts w:ascii="Arial" w:hAnsi="Arial" w:cs="Arial"/>
          <w:lang w:val="en-US"/>
        </w:rPr>
      </w:pPr>
      <w:r w:rsidRPr="00C25C96">
        <w:rPr>
          <w:rFonts w:ascii="Arial" w:hAnsi="Arial" w:cs="Arial"/>
          <w:lang w:val="en-US"/>
        </w:rPr>
        <w:t xml:space="preserve">OECD – </w:t>
      </w:r>
      <w:r w:rsidRPr="00C25C96">
        <w:rPr>
          <w:rFonts w:ascii="Arial" w:hAnsi="Arial" w:cs="Arial"/>
          <w:i/>
          <w:iCs/>
          <w:lang w:val="en-US"/>
        </w:rPr>
        <w:t xml:space="preserve">Organisation for Economic Co-Operation and Development </w:t>
      </w:r>
    </w:p>
    <w:p w14:paraId="284B2E67" w14:textId="7CE3C427" w:rsidR="61FE3AFF" w:rsidRPr="00917386" w:rsidRDefault="61FE3AFF" w:rsidP="744077F9">
      <w:pPr>
        <w:spacing w:after="0" w:line="276" w:lineRule="auto"/>
        <w:rPr>
          <w:rFonts w:ascii="Arial" w:hAnsi="Arial" w:cs="Arial"/>
        </w:rPr>
      </w:pPr>
      <w:r w:rsidRPr="00917386">
        <w:rPr>
          <w:rFonts w:ascii="Arial" w:hAnsi="Arial" w:cs="Arial"/>
        </w:rPr>
        <w:t xml:space="preserve">p.p </w:t>
      </w:r>
      <w:r w:rsidRPr="00C25C96">
        <w:rPr>
          <w:rFonts w:ascii="Arial" w:hAnsi="Arial" w:cs="Arial"/>
        </w:rPr>
        <w:t>–</w:t>
      </w:r>
      <w:r w:rsidRPr="00917386">
        <w:rPr>
          <w:rFonts w:ascii="Arial" w:hAnsi="Arial" w:cs="Arial"/>
        </w:rPr>
        <w:t xml:space="preserve"> punkty procentowe</w:t>
      </w:r>
    </w:p>
    <w:p w14:paraId="3E8ECAB9" w14:textId="77777777" w:rsidR="00BD5A55" w:rsidRPr="00C25C96" w:rsidRDefault="00BD5A55" w:rsidP="005C3719">
      <w:pPr>
        <w:spacing w:after="0" w:line="276" w:lineRule="auto"/>
        <w:rPr>
          <w:rFonts w:ascii="Arial" w:hAnsi="Arial" w:cs="Arial"/>
        </w:rPr>
      </w:pPr>
      <w:r w:rsidRPr="00C25C96">
        <w:rPr>
          <w:rFonts w:ascii="Arial" w:hAnsi="Arial" w:cs="Arial"/>
        </w:rPr>
        <w:t>PARP – Polska Agencja Rozwoju Przedsiębiorczości</w:t>
      </w:r>
    </w:p>
    <w:p w14:paraId="18B976AD" w14:textId="24AA9124" w:rsidR="009071BF" w:rsidRPr="00C25C96" w:rsidRDefault="009071BF" w:rsidP="005C3719">
      <w:pPr>
        <w:spacing w:after="0" w:line="276" w:lineRule="auto"/>
        <w:rPr>
          <w:rFonts w:ascii="Arial" w:hAnsi="Arial" w:cs="Arial"/>
        </w:rPr>
      </w:pPr>
      <w:r w:rsidRPr="00C25C96">
        <w:rPr>
          <w:rFonts w:ascii="Arial" w:hAnsi="Arial" w:cs="Arial"/>
        </w:rPr>
        <w:t xml:space="preserve">PIT – </w:t>
      </w:r>
      <w:r w:rsidR="0037559B" w:rsidRPr="00C25C96">
        <w:rPr>
          <w:rFonts w:ascii="Arial" w:hAnsi="Arial" w:cs="Arial"/>
          <w:i/>
        </w:rPr>
        <w:t>Personal Income Tax</w:t>
      </w:r>
      <w:r w:rsidR="0037559B" w:rsidRPr="00C25C96">
        <w:rPr>
          <w:rFonts w:ascii="Arial" w:hAnsi="Arial" w:cs="Arial"/>
        </w:rPr>
        <w:t xml:space="preserve"> </w:t>
      </w:r>
      <w:r w:rsidRPr="00C25C96">
        <w:rPr>
          <w:rFonts w:ascii="Arial" w:hAnsi="Arial" w:cs="Arial"/>
        </w:rPr>
        <w:t>– podatek dochodowy</w:t>
      </w:r>
    </w:p>
    <w:p w14:paraId="1E0A9C99" w14:textId="77777777" w:rsidR="009071BF" w:rsidRPr="00C25C96" w:rsidRDefault="009071BF" w:rsidP="005C3719">
      <w:pPr>
        <w:spacing w:after="0" w:line="276" w:lineRule="auto"/>
        <w:rPr>
          <w:rFonts w:ascii="Arial" w:hAnsi="Arial" w:cs="Arial"/>
        </w:rPr>
      </w:pPr>
      <w:r w:rsidRPr="00C25C96">
        <w:rPr>
          <w:rFonts w:ascii="Arial" w:hAnsi="Arial" w:cs="Arial"/>
        </w:rPr>
        <w:t>PKB – produ</w:t>
      </w:r>
      <w:r w:rsidR="00BB6E05" w:rsidRPr="00C25C96">
        <w:rPr>
          <w:rFonts w:ascii="Arial" w:hAnsi="Arial" w:cs="Arial"/>
        </w:rPr>
        <w:t>kt</w:t>
      </w:r>
      <w:r w:rsidRPr="00C25C96">
        <w:rPr>
          <w:rFonts w:ascii="Arial" w:hAnsi="Arial" w:cs="Arial"/>
        </w:rPr>
        <w:t xml:space="preserve"> krajowy brutto</w:t>
      </w:r>
    </w:p>
    <w:p w14:paraId="18265394" w14:textId="77777777" w:rsidR="009071BF" w:rsidRPr="00C25C96" w:rsidRDefault="009071BF" w:rsidP="005C3719">
      <w:pPr>
        <w:spacing w:after="0" w:line="276" w:lineRule="auto"/>
        <w:rPr>
          <w:rFonts w:ascii="Arial" w:hAnsi="Arial" w:cs="Arial"/>
        </w:rPr>
      </w:pPr>
      <w:r w:rsidRPr="00C25C96">
        <w:rPr>
          <w:rFonts w:ascii="Arial" w:hAnsi="Arial" w:cs="Arial"/>
        </w:rPr>
        <w:t>PKD – Polska Klasyfikacja Działalności</w:t>
      </w:r>
    </w:p>
    <w:p w14:paraId="11611EDF" w14:textId="77777777" w:rsidR="009071BF" w:rsidRPr="00C25C96" w:rsidRDefault="009071BF" w:rsidP="005C3719">
      <w:pPr>
        <w:spacing w:after="0" w:line="276" w:lineRule="auto"/>
        <w:rPr>
          <w:rFonts w:ascii="Arial" w:hAnsi="Arial" w:cs="Arial"/>
        </w:rPr>
      </w:pPr>
      <w:r w:rsidRPr="00C25C96">
        <w:rPr>
          <w:rFonts w:ascii="Arial" w:hAnsi="Arial" w:cs="Arial"/>
        </w:rPr>
        <w:t>PO IG – Program Operacyjny Innowacyjna Gospodarka</w:t>
      </w:r>
    </w:p>
    <w:p w14:paraId="55EA1D23" w14:textId="77777777" w:rsidR="009071BF" w:rsidRPr="00C25C96" w:rsidRDefault="009071BF" w:rsidP="005C3719">
      <w:pPr>
        <w:spacing w:after="0" w:line="276" w:lineRule="auto"/>
        <w:rPr>
          <w:rFonts w:ascii="Arial" w:hAnsi="Arial" w:cs="Arial"/>
        </w:rPr>
      </w:pPr>
      <w:r w:rsidRPr="00C25C96">
        <w:rPr>
          <w:rFonts w:ascii="Arial" w:hAnsi="Arial" w:cs="Arial"/>
        </w:rPr>
        <w:t>PO IR – Program Operacyjny Inteligentny Rozwój</w:t>
      </w:r>
    </w:p>
    <w:p w14:paraId="116CB689" w14:textId="77777777" w:rsidR="009071BF" w:rsidRPr="00C25C96" w:rsidRDefault="009071BF" w:rsidP="005C3719">
      <w:pPr>
        <w:spacing w:after="0" w:line="276" w:lineRule="auto"/>
        <w:rPr>
          <w:rFonts w:ascii="Arial" w:hAnsi="Arial" w:cs="Arial"/>
        </w:rPr>
      </w:pPr>
      <w:r w:rsidRPr="00C25C96">
        <w:rPr>
          <w:rFonts w:ascii="Arial" w:hAnsi="Arial" w:cs="Arial"/>
        </w:rPr>
        <w:t>PO PW – Program Operacyjny Polska Wschodnia</w:t>
      </w:r>
    </w:p>
    <w:p w14:paraId="12A3720D" w14:textId="20059100" w:rsidR="009071BF" w:rsidRPr="00C25C96" w:rsidRDefault="009071BF" w:rsidP="005C3719">
      <w:pPr>
        <w:spacing w:after="0" w:line="276" w:lineRule="auto"/>
        <w:rPr>
          <w:rFonts w:ascii="Arial" w:hAnsi="Arial" w:cs="Arial"/>
          <w:lang w:val="en-US"/>
        </w:rPr>
      </w:pPr>
      <w:r w:rsidRPr="00C25C96">
        <w:rPr>
          <w:rFonts w:ascii="Arial" w:hAnsi="Arial" w:cs="Arial"/>
          <w:lang w:val="en-US"/>
        </w:rPr>
        <w:t xml:space="preserve">PPP – </w:t>
      </w:r>
      <w:r w:rsidR="0037559B" w:rsidRPr="00C25C96">
        <w:rPr>
          <w:rFonts w:ascii="Arial" w:hAnsi="Arial" w:cs="Arial"/>
          <w:i/>
          <w:lang w:val="en-US"/>
        </w:rPr>
        <w:t xml:space="preserve">Purchasing Power Parity </w:t>
      </w:r>
      <w:r w:rsidRPr="00C25C96">
        <w:rPr>
          <w:rFonts w:ascii="Arial" w:hAnsi="Arial" w:cs="Arial"/>
          <w:lang w:val="en-US"/>
        </w:rPr>
        <w:t>– parytet siły nabywczej</w:t>
      </w:r>
    </w:p>
    <w:p w14:paraId="74A1EAA9" w14:textId="37F2E8D3" w:rsidR="00242E14" w:rsidRPr="00C25C96" w:rsidRDefault="00242E14" w:rsidP="005C3719">
      <w:pPr>
        <w:spacing w:after="0" w:line="276" w:lineRule="auto"/>
        <w:rPr>
          <w:rFonts w:ascii="Arial" w:hAnsi="Arial" w:cs="Arial"/>
        </w:rPr>
      </w:pPr>
      <w:r w:rsidRPr="00C25C96">
        <w:rPr>
          <w:rFonts w:ascii="Arial" w:hAnsi="Arial" w:cs="Arial"/>
        </w:rPr>
        <w:t xml:space="preserve">PROW – </w:t>
      </w:r>
      <w:r w:rsidR="004033AC" w:rsidRPr="00C25C96">
        <w:rPr>
          <w:rFonts w:ascii="Arial" w:hAnsi="Arial" w:cs="Arial"/>
        </w:rPr>
        <w:t>Program Rozwoju Obszarów Wiejskich</w:t>
      </w:r>
    </w:p>
    <w:p w14:paraId="780D97D8" w14:textId="77777777" w:rsidR="004033AC" w:rsidRPr="00C25C96" w:rsidRDefault="004033AC" w:rsidP="005C3719">
      <w:pPr>
        <w:spacing w:after="0" w:line="276" w:lineRule="auto"/>
        <w:rPr>
          <w:rFonts w:ascii="Arial" w:hAnsi="Arial" w:cs="Arial"/>
        </w:rPr>
      </w:pPr>
      <w:r w:rsidRPr="00C25C96">
        <w:rPr>
          <w:rFonts w:ascii="Arial" w:hAnsi="Arial" w:cs="Arial"/>
        </w:rPr>
        <w:t>PS – Polityka Spójności</w:t>
      </w:r>
    </w:p>
    <w:p w14:paraId="72F5694F" w14:textId="26645489" w:rsidR="00242E14" w:rsidRPr="00C25C96" w:rsidRDefault="00242E14" w:rsidP="005C3719">
      <w:pPr>
        <w:spacing w:after="0" w:line="276" w:lineRule="auto"/>
        <w:rPr>
          <w:rFonts w:ascii="Arial" w:hAnsi="Arial" w:cs="Arial"/>
        </w:rPr>
      </w:pPr>
      <w:r w:rsidRPr="00C25C96">
        <w:rPr>
          <w:rFonts w:ascii="Arial" w:hAnsi="Arial" w:cs="Arial"/>
        </w:rPr>
        <w:t>RZL –</w:t>
      </w:r>
      <w:r w:rsidR="00C70777" w:rsidRPr="00C25C96">
        <w:rPr>
          <w:rFonts w:ascii="Arial" w:hAnsi="Arial" w:cs="Arial"/>
        </w:rPr>
        <w:t xml:space="preserve"> </w:t>
      </w:r>
      <w:r w:rsidR="00F209D2" w:rsidRPr="00C25C96">
        <w:rPr>
          <w:rFonts w:ascii="Arial" w:hAnsi="Arial" w:cs="Arial"/>
        </w:rPr>
        <w:t>Rozwój Zasobów Ludzkich</w:t>
      </w:r>
    </w:p>
    <w:p w14:paraId="235B0CC1" w14:textId="40EA2E0C" w:rsidR="009071BF" w:rsidRPr="00C25C96" w:rsidRDefault="009071BF" w:rsidP="005C3719">
      <w:pPr>
        <w:spacing w:after="0" w:line="276" w:lineRule="auto"/>
        <w:rPr>
          <w:rFonts w:ascii="Arial" w:hAnsi="Arial" w:cs="Arial"/>
        </w:rPr>
      </w:pPr>
      <w:r w:rsidRPr="00C25C96">
        <w:rPr>
          <w:rFonts w:ascii="Arial" w:hAnsi="Arial" w:cs="Arial"/>
        </w:rPr>
        <w:t>SOR – Strategia Odpowiedzialnego Rozwoju</w:t>
      </w:r>
    </w:p>
    <w:p w14:paraId="77050C25" w14:textId="77777777" w:rsidR="009071BF" w:rsidRPr="00C25C96" w:rsidRDefault="009071BF" w:rsidP="005C3719">
      <w:pPr>
        <w:spacing w:after="0" w:line="276" w:lineRule="auto"/>
        <w:rPr>
          <w:rFonts w:ascii="Arial" w:hAnsi="Arial" w:cs="Arial"/>
        </w:rPr>
      </w:pPr>
      <w:r w:rsidRPr="00C25C96">
        <w:rPr>
          <w:rFonts w:ascii="Arial" w:hAnsi="Arial" w:cs="Arial"/>
        </w:rPr>
        <w:t>UE – Unia Europejska</w:t>
      </w:r>
    </w:p>
    <w:p w14:paraId="181F43B3" w14:textId="1A942E72" w:rsidR="00242E14" w:rsidRPr="00C25C96" w:rsidRDefault="00242E14" w:rsidP="005C3719">
      <w:pPr>
        <w:spacing w:after="0" w:line="276" w:lineRule="auto"/>
        <w:rPr>
          <w:rFonts w:ascii="Arial" w:hAnsi="Arial" w:cs="Arial"/>
        </w:rPr>
      </w:pPr>
      <w:r w:rsidRPr="00C25C96">
        <w:rPr>
          <w:rFonts w:ascii="Arial" w:hAnsi="Arial" w:cs="Arial"/>
        </w:rPr>
        <w:t xml:space="preserve">UP – </w:t>
      </w:r>
      <w:r w:rsidR="004033AC" w:rsidRPr="00C25C96">
        <w:rPr>
          <w:rFonts w:ascii="Arial" w:hAnsi="Arial" w:cs="Arial"/>
        </w:rPr>
        <w:t>Umowa Partnerstwa</w:t>
      </w:r>
    </w:p>
    <w:p w14:paraId="17AFE4F3" w14:textId="26656D64" w:rsidR="009071BF" w:rsidRPr="00C25C96" w:rsidRDefault="009071BF" w:rsidP="005C3719">
      <w:pPr>
        <w:spacing w:after="0" w:line="276" w:lineRule="auto"/>
        <w:rPr>
          <w:rFonts w:ascii="Arial" w:hAnsi="Arial" w:cs="Arial"/>
        </w:rPr>
      </w:pPr>
      <w:r w:rsidRPr="00C25C96">
        <w:rPr>
          <w:rFonts w:ascii="Arial" w:hAnsi="Arial" w:cs="Arial"/>
        </w:rPr>
        <w:t xml:space="preserve">VAT – </w:t>
      </w:r>
      <w:r w:rsidR="00EA3A36" w:rsidRPr="00C25C96">
        <w:rPr>
          <w:rFonts w:ascii="Arial" w:hAnsi="Arial" w:cs="Arial"/>
          <w:i/>
        </w:rPr>
        <w:t>V</w:t>
      </w:r>
      <w:r w:rsidRPr="00C25C96">
        <w:rPr>
          <w:rFonts w:ascii="Arial" w:hAnsi="Arial" w:cs="Arial"/>
          <w:i/>
        </w:rPr>
        <w:t xml:space="preserve">alue </w:t>
      </w:r>
      <w:r w:rsidR="00EA3A36" w:rsidRPr="00C25C96">
        <w:rPr>
          <w:rFonts w:ascii="Arial" w:hAnsi="Arial" w:cs="Arial"/>
          <w:i/>
        </w:rPr>
        <w:t>A</w:t>
      </w:r>
      <w:r w:rsidRPr="00C25C96">
        <w:rPr>
          <w:rFonts w:ascii="Arial" w:hAnsi="Arial" w:cs="Arial"/>
          <w:i/>
        </w:rPr>
        <w:t xml:space="preserve">dded </w:t>
      </w:r>
      <w:r w:rsidR="00EA3A36" w:rsidRPr="00C25C96">
        <w:rPr>
          <w:rFonts w:ascii="Arial" w:hAnsi="Arial" w:cs="Arial"/>
          <w:i/>
        </w:rPr>
        <w:t>T</w:t>
      </w:r>
      <w:r w:rsidRPr="00C25C96">
        <w:rPr>
          <w:rFonts w:ascii="Arial" w:hAnsi="Arial" w:cs="Arial"/>
          <w:i/>
        </w:rPr>
        <w:t xml:space="preserve">ax </w:t>
      </w:r>
      <w:r w:rsidRPr="00C25C96">
        <w:rPr>
          <w:rFonts w:ascii="Arial" w:hAnsi="Arial" w:cs="Arial"/>
        </w:rPr>
        <w:t>– podatek od wartości dodanej</w:t>
      </w:r>
    </w:p>
    <w:p w14:paraId="51EEFB58" w14:textId="77777777" w:rsidR="009071BF" w:rsidRPr="00C25C96" w:rsidRDefault="009071BF" w:rsidP="005C3719">
      <w:pPr>
        <w:spacing w:after="0" w:line="276" w:lineRule="auto"/>
        <w:rPr>
          <w:rFonts w:ascii="Arial" w:hAnsi="Arial" w:cs="Arial"/>
          <w:i/>
        </w:rPr>
      </w:pPr>
      <w:r w:rsidRPr="00C25C96">
        <w:rPr>
          <w:rFonts w:ascii="Arial" w:hAnsi="Arial" w:cs="Arial"/>
        </w:rPr>
        <w:t xml:space="preserve">WIOD – </w:t>
      </w:r>
      <w:r w:rsidRPr="00C25C96">
        <w:rPr>
          <w:rFonts w:ascii="Arial" w:hAnsi="Arial" w:cs="Arial"/>
          <w:i/>
        </w:rPr>
        <w:t>World Input-Output Tables</w:t>
      </w:r>
    </w:p>
    <w:p w14:paraId="2F580E55" w14:textId="77777777" w:rsidR="00A375CF" w:rsidRPr="00C25C96" w:rsidRDefault="00A375CF" w:rsidP="005C3719">
      <w:pPr>
        <w:spacing w:after="0" w:line="276" w:lineRule="auto"/>
        <w:jc w:val="left"/>
        <w:rPr>
          <w:rFonts w:ascii="Arial" w:hAnsi="Arial" w:cs="Arial"/>
        </w:rPr>
      </w:pPr>
    </w:p>
    <w:p w14:paraId="10F1D654" w14:textId="77777777" w:rsidR="008968F1" w:rsidRPr="00C25C96" w:rsidRDefault="008968F1" w:rsidP="005C3719">
      <w:pPr>
        <w:spacing w:after="0" w:line="276" w:lineRule="auto"/>
        <w:rPr>
          <w:rFonts w:ascii="Arial" w:hAnsi="Arial" w:cs="Arial"/>
          <w:b/>
          <w:i/>
        </w:rPr>
      </w:pPr>
      <w:r w:rsidRPr="00C25C96">
        <w:rPr>
          <w:rFonts w:ascii="Arial" w:hAnsi="Arial" w:cs="Arial"/>
          <w:b/>
        </w:rPr>
        <w:t>Skró</w:t>
      </w:r>
      <w:r w:rsidR="002C6B64" w:rsidRPr="00C25C96">
        <w:rPr>
          <w:rFonts w:ascii="Arial" w:hAnsi="Arial" w:cs="Arial"/>
          <w:b/>
        </w:rPr>
        <w:t>ty nazw wojewó</w:t>
      </w:r>
      <w:r w:rsidRPr="00C25C96">
        <w:rPr>
          <w:rFonts w:ascii="Arial" w:hAnsi="Arial" w:cs="Arial"/>
          <w:b/>
        </w:rPr>
        <w:t>dztw stosowan</w:t>
      </w:r>
      <w:r w:rsidR="00C24FEE" w:rsidRPr="00C25C96">
        <w:rPr>
          <w:rFonts w:ascii="Arial" w:hAnsi="Arial" w:cs="Arial"/>
          <w:b/>
        </w:rPr>
        <w:t>e</w:t>
      </w:r>
      <w:r w:rsidRPr="00C25C96">
        <w:rPr>
          <w:rFonts w:ascii="Arial" w:hAnsi="Arial" w:cs="Arial"/>
          <w:b/>
        </w:rPr>
        <w:t xml:space="preserve"> w raporcie</w:t>
      </w:r>
      <w:r w:rsidRPr="00C25C96">
        <w:rPr>
          <w:rFonts w:ascii="Arial" w:hAnsi="Arial" w:cs="Arial"/>
          <w:b/>
          <w:i/>
        </w:rPr>
        <w:t xml:space="preserve">: </w:t>
      </w:r>
    </w:p>
    <w:p w14:paraId="28B8037F" w14:textId="1C224F8D" w:rsidR="00C24FEE" w:rsidRPr="00C25C96" w:rsidRDefault="00C24FEE" w:rsidP="005C3719">
      <w:pPr>
        <w:spacing w:after="0" w:line="276" w:lineRule="auto"/>
        <w:rPr>
          <w:rFonts w:ascii="Arial" w:hAnsi="Arial" w:cs="Arial"/>
        </w:rPr>
      </w:pPr>
      <w:r w:rsidRPr="00C25C96">
        <w:rPr>
          <w:rFonts w:ascii="Arial" w:hAnsi="Arial" w:cs="Arial"/>
        </w:rPr>
        <w:t xml:space="preserve">DLN – </w:t>
      </w:r>
      <w:r w:rsidR="0037559B" w:rsidRPr="00C25C96">
        <w:rPr>
          <w:rFonts w:ascii="Arial" w:hAnsi="Arial" w:cs="Arial"/>
        </w:rPr>
        <w:t>Województwo</w:t>
      </w:r>
      <w:r w:rsidRPr="00C25C96">
        <w:rPr>
          <w:rFonts w:ascii="Arial" w:hAnsi="Arial" w:cs="Arial"/>
        </w:rPr>
        <w:t xml:space="preserve"> dolnośląskie</w:t>
      </w:r>
    </w:p>
    <w:p w14:paraId="366AF4B5" w14:textId="6B528CDE" w:rsidR="00C24FEE" w:rsidRPr="00C25C96" w:rsidRDefault="00C24FEE" w:rsidP="005C3719">
      <w:pPr>
        <w:spacing w:after="0" w:line="276" w:lineRule="auto"/>
        <w:rPr>
          <w:rFonts w:ascii="Arial" w:hAnsi="Arial" w:cs="Arial"/>
        </w:rPr>
      </w:pPr>
      <w:r w:rsidRPr="00C25C96">
        <w:rPr>
          <w:rFonts w:ascii="Arial" w:hAnsi="Arial" w:cs="Arial"/>
        </w:rPr>
        <w:t xml:space="preserve">KJP – </w:t>
      </w:r>
      <w:r w:rsidR="0037559B" w:rsidRPr="00C25C96">
        <w:rPr>
          <w:rFonts w:ascii="Arial" w:hAnsi="Arial" w:cs="Arial"/>
        </w:rPr>
        <w:t>Województwo</w:t>
      </w:r>
      <w:r w:rsidRPr="00C25C96">
        <w:rPr>
          <w:rFonts w:ascii="Arial" w:hAnsi="Arial" w:cs="Arial"/>
        </w:rPr>
        <w:t xml:space="preserve"> kujawsko – pomorskie </w:t>
      </w:r>
    </w:p>
    <w:p w14:paraId="403A87DD" w14:textId="58F306C6" w:rsidR="00C24FEE" w:rsidRPr="00C25C96" w:rsidRDefault="00C24FEE" w:rsidP="005C3719">
      <w:pPr>
        <w:spacing w:after="0" w:line="276" w:lineRule="auto"/>
        <w:rPr>
          <w:rFonts w:ascii="Arial" w:hAnsi="Arial" w:cs="Arial"/>
        </w:rPr>
      </w:pPr>
      <w:r w:rsidRPr="00C25C96">
        <w:rPr>
          <w:rFonts w:ascii="Arial" w:hAnsi="Arial" w:cs="Arial"/>
        </w:rPr>
        <w:t xml:space="preserve">LBS – </w:t>
      </w:r>
      <w:r w:rsidR="0037559B" w:rsidRPr="00C25C96">
        <w:rPr>
          <w:rFonts w:ascii="Arial" w:hAnsi="Arial" w:cs="Arial"/>
        </w:rPr>
        <w:t>Województwo</w:t>
      </w:r>
      <w:r w:rsidRPr="00C25C96">
        <w:rPr>
          <w:rFonts w:ascii="Arial" w:hAnsi="Arial" w:cs="Arial"/>
        </w:rPr>
        <w:t xml:space="preserve"> lubuskie </w:t>
      </w:r>
    </w:p>
    <w:p w14:paraId="207B0766" w14:textId="7E57C9F2" w:rsidR="00C24FEE" w:rsidRPr="00C25C96" w:rsidRDefault="00C24FEE" w:rsidP="005C3719">
      <w:pPr>
        <w:spacing w:after="0" w:line="276" w:lineRule="auto"/>
        <w:rPr>
          <w:rFonts w:ascii="Arial" w:hAnsi="Arial" w:cs="Arial"/>
        </w:rPr>
      </w:pPr>
      <w:r w:rsidRPr="00C25C96">
        <w:rPr>
          <w:rFonts w:ascii="Arial" w:hAnsi="Arial" w:cs="Arial"/>
        </w:rPr>
        <w:t xml:space="preserve">LDZ – </w:t>
      </w:r>
      <w:r w:rsidR="0037559B" w:rsidRPr="00C25C96">
        <w:rPr>
          <w:rFonts w:ascii="Arial" w:hAnsi="Arial" w:cs="Arial"/>
        </w:rPr>
        <w:t>Województwo</w:t>
      </w:r>
      <w:r w:rsidRPr="00C25C96">
        <w:rPr>
          <w:rFonts w:ascii="Arial" w:hAnsi="Arial" w:cs="Arial"/>
        </w:rPr>
        <w:t xml:space="preserve"> łódzkie </w:t>
      </w:r>
    </w:p>
    <w:p w14:paraId="2AD78CED" w14:textId="08EB37F6" w:rsidR="00C24FEE" w:rsidRPr="00C25C96" w:rsidRDefault="00C24FEE" w:rsidP="005C3719">
      <w:pPr>
        <w:spacing w:after="0" w:line="276" w:lineRule="auto"/>
        <w:rPr>
          <w:rFonts w:ascii="Arial" w:hAnsi="Arial" w:cs="Arial"/>
        </w:rPr>
      </w:pPr>
      <w:r w:rsidRPr="00C25C96">
        <w:rPr>
          <w:rFonts w:ascii="Arial" w:hAnsi="Arial" w:cs="Arial"/>
        </w:rPr>
        <w:t xml:space="preserve">LUB – </w:t>
      </w:r>
      <w:r w:rsidR="0037559B" w:rsidRPr="00C25C96">
        <w:rPr>
          <w:rFonts w:ascii="Arial" w:hAnsi="Arial" w:cs="Arial"/>
        </w:rPr>
        <w:t>Województwo</w:t>
      </w:r>
      <w:r w:rsidRPr="00C25C96">
        <w:rPr>
          <w:rFonts w:ascii="Arial" w:hAnsi="Arial" w:cs="Arial"/>
        </w:rPr>
        <w:t xml:space="preserve"> lubelskie</w:t>
      </w:r>
    </w:p>
    <w:p w14:paraId="2A4634C5" w14:textId="42CE9356" w:rsidR="00C24FEE" w:rsidRPr="00C25C96" w:rsidRDefault="00C24FEE" w:rsidP="005C3719">
      <w:pPr>
        <w:spacing w:after="0" w:line="276" w:lineRule="auto"/>
        <w:rPr>
          <w:rFonts w:ascii="Arial" w:hAnsi="Arial" w:cs="Arial"/>
        </w:rPr>
      </w:pPr>
      <w:r w:rsidRPr="00C25C96">
        <w:rPr>
          <w:rFonts w:ascii="Arial" w:hAnsi="Arial" w:cs="Arial"/>
        </w:rPr>
        <w:t xml:space="preserve">MAZ – </w:t>
      </w:r>
      <w:r w:rsidR="0037559B" w:rsidRPr="00C25C96">
        <w:rPr>
          <w:rFonts w:ascii="Arial" w:hAnsi="Arial" w:cs="Arial"/>
        </w:rPr>
        <w:t>Województwo</w:t>
      </w:r>
      <w:r w:rsidRPr="00C25C96">
        <w:rPr>
          <w:rFonts w:ascii="Arial" w:hAnsi="Arial" w:cs="Arial"/>
        </w:rPr>
        <w:t xml:space="preserve"> mazowieckie </w:t>
      </w:r>
    </w:p>
    <w:p w14:paraId="626326C8" w14:textId="09F72236" w:rsidR="00C24FEE" w:rsidRPr="00C25C96" w:rsidRDefault="00C24FEE" w:rsidP="005C3719">
      <w:pPr>
        <w:spacing w:after="0" w:line="276" w:lineRule="auto"/>
        <w:rPr>
          <w:rFonts w:ascii="Arial" w:hAnsi="Arial" w:cs="Arial"/>
        </w:rPr>
      </w:pPr>
      <w:r w:rsidRPr="00C25C96">
        <w:rPr>
          <w:rFonts w:ascii="Arial" w:hAnsi="Arial" w:cs="Arial"/>
        </w:rPr>
        <w:t xml:space="preserve">MLP – </w:t>
      </w:r>
      <w:r w:rsidR="0037559B" w:rsidRPr="00C25C96">
        <w:rPr>
          <w:rFonts w:ascii="Arial" w:hAnsi="Arial" w:cs="Arial"/>
        </w:rPr>
        <w:t>Województwo</w:t>
      </w:r>
      <w:r w:rsidRPr="00C25C96">
        <w:rPr>
          <w:rFonts w:ascii="Arial" w:hAnsi="Arial" w:cs="Arial"/>
        </w:rPr>
        <w:t xml:space="preserve"> małopolskie </w:t>
      </w:r>
    </w:p>
    <w:p w14:paraId="10D3AFDC" w14:textId="68E82E88" w:rsidR="00C24FEE" w:rsidRPr="00C25C96" w:rsidRDefault="00C24FEE" w:rsidP="005C3719">
      <w:pPr>
        <w:spacing w:after="0" w:line="276" w:lineRule="auto"/>
        <w:rPr>
          <w:rFonts w:ascii="Arial" w:hAnsi="Arial" w:cs="Arial"/>
        </w:rPr>
      </w:pPr>
      <w:r w:rsidRPr="00C25C96">
        <w:rPr>
          <w:rFonts w:ascii="Arial" w:hAnsi="Arial" w:cs="Arial"/>
        </w:rPr>
        <w:t xml:space="preserve">OPL – </w:t>
      </w:r>
      <w:r w:rsidR="0037559B" w:rsidRPr="00C25C96">
        <w:rPr>
          <w:rFonts w:ascii="Arial" w:hAnsi="Arial" w:cs="Arial"/>
        </w:rPr>
        <w:t>Województwo</w:t>
      </w:r>
      <w:r w:rsidRPr="00C25C96">
        <w:rPr>
          <w:rFonts w:ascii="Arial" w:hAnsi="Arial" w:cs="Arial"/>
        </w:rPr>
        <w:t xml:space="preserve"> opolskie </w:t>
      </w:r>
    </w:p>
    <w:p w14:paraId="240E3F4C" w14:textId="2E4E0B19" w:rsidR="00C24FEE" w:rsidRPr="00C25C96" w:rsidRDefault="00C24FEE" w:rsidP="005C3719">
      <w:pPr>
        <w:spacing w:after="0" w:line="276" w:lineRule="auto"/>
        <w:rPr>
          <w:rFonts w:ascii="Arial" w:hAnsi="Arial" w:cs="Arial"/>
        </w:rPr>
      </w:pPr>
      <w:r w:rsidRPr="00C25C96">
        <w:rPr>
          <w:rFonts w:ascii="Arial" w:hAnsi="Arial" w:cs="Arial"/>
        </w:rPr>
        <w:t xml:space="preserve">PDL – </w:t>
      </w:r>
      <w:r w:rsidR="0037559B" w:rsidRPr="00C25C96">
        <w:rPr>
          <w:rFonts w:ascii="Arial" w:hAnsi="Arial" w:cs="Arial"/>
        </w:rPr>
        <w:t>Województwo</w:t>
      </w:r>
      <w:r w:rsidRPr="00C25C96">
        <w:rPr>
          <w:rFonts w:ascii="Arial" w:hAnsi="Arial" w:cs="Arial"/>
        </w:rPr>
        <w:t xml:space="preserve"> podlaskie </w:t>
      </w:r>
    </w:p>
    <w:p w14:paraId="519F1F2D" w14:textId="030C82F2" w:rsidR="00C24FEE" w:rsidRPr="00C25C96" w:rsidRDefault="00C24FEE" w:rsidP="005C3719">
      <w:pPr>
        <w:spacing w:after="0" w:line="276" w:lineRule="auto"/>
        <w:rPr>
          <w:rFonts w:ascii="Arial" w:hAnsi="Arial" w:cs="Arial"/>
        </w:rPr>
      </w:pPr>
      <w:r w:rsidRPr="00C25C96">
        <w:rPr>
          <w:rFonts w:ascii="Arial" w:hAnsi="Arial" w:cs="Arial"/>
        </w:rPr>
        <w:t xml:space="preserve">PKP – </w:t>
      </w:r>
      <w:r w:rsidR="0037559B" w:rsidRPr="00C25C96">
        <w:rPr>
          <w:rFonts w:ascii="Arial" w:hAnsi="Arial" w:cs="Arial"/>
        </w:rPr>
        <w:t>Województwo</w:t>
      </w:r>
      <w:r w:rsidRPr="00C25C96">
        <w:rPr>
          <w:rFonts w:ascii="Arial" w:hAnsi="Arial" w:cs="Arial"/>
        </w:rPr>
        <w:t xml:space="preserve"> podkarpackie</w:t>
      </w:r>
    </w:p>
    <w:p w14:paraId="607BCFA5" w14:textId="12082E9F" w:rsidR="00C24FEE" w:rsidRPr="00C25C96" w:rsidRDefault="00C24FEE" w:rsidP="005C3719">
      <w:pPr>
        <w:spacing w:after="0" w:line="276" w:lineRule="auto"/>
        <w:rPr>
          <w:rFonts w:ascii="Arial" w:hAnsi="Arial" w:cs="Arial"/>
        </w:rPr>
      </w:pPr>
      <w:r w:rsidRPr="00C25C96">
        <w:rPr>
          <w:rFonts w:ascii="Arial" w:hAnsi="Arial" w:cs="Arial"/>
        </w:rPr>
        <w:t xml:space="preserve">POM – </w:t>
      </w:r>
      <w:r w:rsidR="0037559B" w:rsidRPr="00C25C96">
        <w:rPr>
          <w:rFonts w:ascii="Arial" w:hAnsi="Arial" w:cs="Arial"/>
        </w:rPr>
        <w:t>Województwo</w:t>
      </w:r>
      <w:r w:rsidRPr="00C25C96">
        <w:rPr>
          <w:rFonts w:ascii="Arial" w:hAnsi="Arial" w:cs="Arial"/>
        </w:rPr>
        <w:t xml:space="preserve"> pomorskie</w:t>
      </w:r>
    </w:p>
    <w:p w14:paraId="08D9E607" w14:textId="5EF13FC9" w:rsidR="00C24FEE" w:rsidRPr="00C25C96" w:rsidRDefault="00C24FEE" w:rsidP="005C3719">
      <w:pPr>
        <w:spacing w:after="0" w:line="276" w:lineRule="auto"/>
        <w:rPr>
          <w:rFonts w:ascii="Arial" w:hAnsi="Arial" w:cs="Arial"/>
        </w:rPr>
      </w:pPr>
      <w:r w:rsidRPr="00C25C96">
        <w:rPr>
          <w:rFonts w:ascii="Arial" w:hAnsi="Arial" w:cs="Arial"/>
        </w:rPr>
        <w:t xml:space="preserve">SLP – </w:t>
      </w:r>
      <w:r w:rsidR="0037559B" w:rsidRPr="00C25C96">
        <w:rPr>
          <w:rFonts w:ascii="Arial" w:hAnsi="Arial" w:cs="Arial"/>
        </w:rPr>
        <w:t>Województwo</w:t>
      </w:r>
      <w:r w:rsidRPr="00C25C96">
        <w:rPr>
          <w:rFonts w:ascii="Arial" w:hAnsi="Arial" w:cs="Arial"/>
        </w:rPr>
        <w:t xml:space="preserve"> śląskie</w:t>
      </w:r>
    </w:p>
    <w:p w14:paraId="2A5A6267" w14:textId="6828F170" w:rsidR="00C24FEE" w:rsidRPr="00C25C96" w:rsidRDefault="00C24FEE" w:rsidP="005C3719">
      <w:pPr>
        <w:spacing w:after="0" w:line="276" w:lineRule="auto"/>
        <w:rPr>
          <w:rFonts w:ascii="Arial" w:hAnsi="Arial" w:cs="Arial"/>
        </w:rPr>
      </w:pPr>
      <w:r w:rsidRPr="00C25C96">
        <w:rPr>
          <w:rFonts w:ascii="Arial" w:hAnsi="Arial" w:cs="Arial"/>
        </w:rPr>
        <w:t xml:space="preserve">SWK – </w:t>
      </w:r>
      <w:r w:rsidR="0037559B" w:rsidRPr="00C25C96">
        <w:rPr>
          <w:rFonts w:ascii="Arial" w:hAnsi="Arial" w:cs="Arial"/>
        </w:rPr>
        <w:t>Województwo</w:t>
      </w:r>
      <w:r w:rsidRPr="00C25C96">
        <w:rPr>
          <w:rFonts w:ascii="Arial" w:hAnsi="Arial" w:cs="Arial"/>
        </w:rPr>
        <w:t xml:space="preserve"> świętokrzyskie </w:t>
      </w:r>
    </w:p>
    <w:p w14:paraId="687DC44F" w14:textId="05C3335A" w:rsidR="00C24FEE" w:rsidRPr="00C25C96" w:rsidRDefault="00C24FEE" w:rsidP="005C3719">
      <w:pPr>
        <w:spacing w:after="0" w:line="276" w:lineRule="auto"/>
        <w:rPr>
          <w:rFonts w:ascii="Arial" w:hAnsi="Arial" w:cs="Arial"/>
        </w:rPr>
      </w:pPr>
      <w:r w:rsidRPr="00C25C96">
        <w:rPr>
          <w:rFonts w:ascii="Arial" w:hAnsi="Arial" w:cs="Arial"/>
        </w:rPr>
        <w:t xml:space="preserve">WLK – </w:t>
      </w:r>
      <w:r w:rsidR="0037559B" w:rsidRPr="00C25C96">
        <w:rPr>
          <w:rFonts w:ascii="Arial" w:hAnsi="Arial" w:cs="Arial"/>
        </w:rPr>
        <w:t>Województwo</w:t>
      </w:r>
      <w:r w:rsidRPr="00C25C96">
        <w:rPr>
          <w:rFonts w:ascii="Arial" w:hAnsi="Arial" w:cs="Arial"/>
        </w:rPr>
        <w:t xml:space="preserve"> wielkopolskie </w:t>
      </w:r>
    </w:p>
    <w:p w14:paraId="3BE10210" w14:textId="2C95B91F" w:rsidR="00C24FEE" w:rsidRPr="00C25C96" w:rsidRDefault="00C24FEE" w:rsidP="005C3719">
      <w:pPr>
        <w:spacing w:after="0" w:line="276" w:lineRule="auto"/>
        <w:rPr>
          <w:rFonts w:ascii="Arial" w:hAnsi="Arial" w:cs="Arial"/>
        </w:rPr>
      </w:pPr>
      <w:r w:rsidRPr="00C25C96">
        <w:rPr>
          <w:rFonts w:ascii="Arial" w:hAnsi="Arial" w:cs="Arial"/>
        </w:rPr>
        <w:t xml:space="preserve">WMZ – </w:t>
      </w:r>
      <w:r w:rsidR="0037559B" w:rsidRPr="00C25C96">
        <w:rPr>
          <w:rFonts w:ascii="Arial" w:hAnsi="Arial" w:cs="Arial"/>
        </w:rPr>
        <w:t>Województwo</w:t>
      </w:r>
      <w:r w:rsidRPr="00C25C96">
        <w:rPr>
          <w:rFonts w:ascii="Arial" w:hAnsi="Arial" w:cs="Arial"/>
        </w:rPr>
        <w:t xml:space="preserve"> warmińsko – mazurskie </w:t>
      </w:r>
    </w:p>
    <w:p w14:paraId="1A9F2EAB" w14:textId="77565803" w:rsidR="00E84412" w:rsidRPr="00A63A8B" w:rsidRDefault="00C24FEE" w:rsidP="00917386">
      <w:pPr>
        <w:spacing w:after="0" w:line="276" w:lineRule="auto"/>
        <w:rPr>
          <w:rFonts w:asciiTheme="minorHAnsi" w:hAnsiTheme="minorHAnsi" w:cstheme="minorHAnsi"/>
          <w:b/>
          <w:noProof/>
        </w:rPr>
      </w:pPr>
      <w:r w:rsidRPr="00C25C96">
        <w:rPr>
          <w:rFonts w:ascii="Arial" w:hAnsi="Arial" w:cs="Arial"/>
        </w:rPr>
        <w:t xml:space="preserve">ZPM – </w:t>
      </w:r>
      <w:r w:rsidR="0037559B" w:rsidRPr="00C25C96">
        <w:rPr>
          <w:rFonts w:ascii="Arial" w:hAnsi="Arial" w:cs="Arial"/>
        </w:rPr>
        <w:t>Województwo</w:t>
      </w:r>
      <w:r w:rsidRPr="00C25C96">
        <w:rPr>
          <w:rFonts w:ascii="Arial" w:hAnsi="Arial" w:cs="Arial"/>
        </w:rPr>
        <w:t xml:space="preserve"> zachodniopomorskie </w:t>
      </w:r>
      <w:r w:rsidR="00E84412" w:rsidRPr="00A63A8B">
        <w:rPr>
          <w:rFonts w:asciiTheme="minorHAnsi" w:hAnsiTheme="minorHAnsi" w:cstheme="minorHAnsi"/>
        </w:rPr>
        <w:br w:type="page"/>
      </w:r>
    </w:p>
    <w:p w14:paraId="2D479117" w14:textId="77777777" w:rsidR="009B5712" w:rsidRDefault="009B5712" w:rsidP="009B5712">
      <w:pPr>
        <w:pStyle w:val="Styl2"/>
        <w:numPr>
          <w:ilvl w:val="0"/>
          <w:numId w:val="0"/>
        </w:numPr>
        <w:ind w:left="360" w:hanging="360"/>
      </w:pPr>
      <w:bookmarkStart w:id="3" w:name="_Toc494086921"/>
      <w:bookmarkStart w:id="4" w:name="_Toc136373154"/>
      <w:bookmarkStart w:id="5" w:name="_Toc176241609"/>
      <w:bookmarkStart w:id="6" w:name="_Toc136252784"/>
      <w:r>
        <w:lastRenderedPageBreak/>
        <w:t>Streszczenie</w:t>
      </w:r>
      <w:bookmarkEnd w:id="3"/>
      <w:bookmarkEnd w:id="4"/>
      <w:bookmarkEnd w:id="5"/>
    </w:p>
    <w:p w14:paraId="5283910A" w14:textId="18BD5D89" w:rsidR="00485D77" w:rsidRPr="00485D77" w:rsidRDefault="00485D77" w:rsidP="00917386">
      <w:pPr>
        <w:spacing w:after="120" w:line="276" w:lineRule="auto"/>
        <w:jc w:val="left"/>
        <w:rPr>
          <w:rFonts w:ascii="Arial" w:hAnsi="Arial" w:cs="Arial"/>
        </w:rPr>
      </w:pPr>
      <w:r w:rsidRPr="00485D77">
        <w:rPr>
          <w:rFonts w:ascii="Arial" w:hAnsi="Arial" w:cs="Arial"/>
        </w:rPr>
        <w:t>Badanie „Ocena wpływu realizacji polityki spójności (i innych instrumentów) na kształtowanie się wybranych wskaźników makroekonomicznych na poziomie krajowym i regionalnym za pomocą ilościowego modelu ekonomicznego” zostało przeprowadzone przez konsorcjum Fundacji Naukowej WiseEuropa oraz Ecorys Polska sp. z.o.o. na zlecenie Ministerstwa Funduszy i Polityki Regionalnej. Zakres czasowy badania obejmuje szacowanie efektów dla poszczególnych lat okresu 2004-2033, na</w:t>
      </w:r>
      <w:r w:rsidR="00EF4149">
        <w:rPr>
          <w:rFonts w:ascii="Arial" w:hAnsi="Arial" w:cs="Arial"/>
        </w:rPr>
        <w:t> </w:t>
      </w:r>
      <w:r w:rsidRPr="00485D77">
        <w:rPr>
          <w:rFonts w:ascii="Arial" w:hAnsi="Arial" w:cs="Arial"/>
        </w:rPr>
        <w:t>podstawie danych o faktycznie zrealizowanych i prognozowanych płatnościach w tym okresie.</w:t>
      </w:r>
    </w:p>
    <w:p w14:paraId="2C57F0F3" w14:textId="342C429F" w:rsidR="00485D77" w:rsidRPr="00485D77" w:rsidRDefault="00485D77" w:rsidP="00917386">
      <w:pPr>
        <w:spacing w:after="120" w:line="276" w:lineRule="auto"/>
        <w:jc w:val="left"/>
        <w:rPr>
          <w:rFonts w:ascii="Arial" w:hAnsi="Arial" w:cs="Arial"/>
        </w:rPr>
      </w:pPr>
      <w:r w:rsidRPr="00485D77">
        <w:rPr>
          <w:rFonts w:ascii="Arial" w:hAnsi="Arial" w:cs="Arial"/>
        </w:rPr>
        <w:t xml:space="preserve">Badanie objęło analizę wpływu środków udostępnionych Polsce w </w:t>
      </w:r>
      <w:r w:rsidRPr="00EF4149">
        <w:rPr>
          <w:rFonts w:ascii="Arial" w:hAnsi="Arial" w:cs="Arial"/>
        </w:rPr>
        <w:t>ramach czterech perspektyw finansowych: Narodowego Planu Rozwoju 2004-2006, Narodowej Strategii Spójności 2007-2013, Umowy Partnerstwa 2014-2020 i Umowy Partnerstwa 2021-2027, a także Krajowego Planu Odbudowy przewidzianego do realizacji w latach 2022-2026. Kwoty przypisane NPR 2004</w:t>
      </w:r>
      <w:r w:rsidRPr="00485D77">
        <w:rPr>
          <w:rFonts w:ascii="Arial" w:hAnsi="Arial" w:cs="Arial"/>
        </w:rPr>
        <w:t>-2006 obejmują środki Polityki Spójności wydatkowane w tym okresie, natomiast wydatki NSS 2007-2013, UP 2014-2020 oraz UP 2021-2027, obok wydatków na Politykę Spójności, uwzględniają także podobne do nich środki Programu Rozwoju Obszarów Wiejskich. Łączna kwota analizowanego wsparcia wyniosła ponad 1,3</w:t>
      </w:r>
      <w:r w:rsidR="00EF4149">
        <w:rPr>
          <w:rFonts w:ascii="Arial" w:hAnsi="Arial" w:cs="Arial"/>
        </w:rPr>
        <w:t> </w:t>
      </w:r>
      <w:r w:rsidRPr="00485D77">
        <w:rPr>
          <w:rFonts w:ascii="Arial" w:hAnsi="Arial" w:cs="Arial"/>
        </w:rPr>
        <w:t>bln PLN, z czego 67% przypadło na infrastrukturę podstawową, 18% na bezpośrednie wsparcie przedsiębiorstw, a 15% na rozwój zasobów ludzkich.</w:t>
      </w:r>
    </w:p>
    <w:p w14:paraId="144B4E20" w14:textId="65B8A59A" w:rsidR="00485D77" w:rsidRPr="00485D77" w:rsidRDefault="00485D77" w:rsidP="00917386">
      <w:pPr>
        <w:spacing w:after="120" w:line="276" w:lineRule="auto"/>
        <w:jc w:val="left"/>
        <w:rPr>
          <w:rFonts w:ascii="Arial" w:hAnsi="Arial" w:cs="Arial"/>
        </w:rPr>
      </w:pPr>
      <w:r w:rsidRPr="00485D77">
        <w:rPr>
          <w:rFonts w:ascii="Arial" w:hAnsi="Arial" w:cs="Arial"/>
        </w:rPr>
        <w:t>Ilościowym modelem, który zastosowano do przeprowadzania badania, jest model VESPA w</w:t>
      </w:r>
      <w:r w:rsidR="00EF4149">
        <w:rPr>
          <w:rFonts w:ascii="Arial" w:hAnsi="Arial" w:cs="Arial"/>
        </w:rPr>
        <w:t> </w:t>
      </w:r>
      <w:r w:rsidRPr="00485D77">
        <w:rPr>
          <w:rFonts w:ascii="Arial" w:hAnsi="Arial" w:cs="Arial"/>
        </w:rPr>
        <w:t>najnowszej wersji VESPA3</w:t>
      </w:r>
      <w:r w:rsidR="0053328A">
        <w:rPr>
          <w:rFonts w:ascii="Arial" w:hAnsi="Arial" w:cs="Arial"/>
        </w:rPr>
        <w:t>,</w:t>
      </w:r>
      <w:r w:rsidRPr="00485D77">
        <w:rPr>
          <w:rFonts w:ascii="Arial" w:hAnsi="Arial" w:cs="Arial"/>
        </w:rPr>
        <w:t xml:space="preserve"> dostosowanej do przedmiotu badania pod względem liczby sektorów i</w:t>
      </w:r>
      <w:r w:rsidR="00EF4149">
        <w:rPr>
          <w:rFonts w:ascii="Arial" w:hAnsi="Arial" w:cs="Arial"/>
        </w:rPr>
        <w:t> </w:t>
      </w:r>
      <w:r w:rsidRPr="00485D77">
        <w:rPr>
          <w:rFonts w:ascii="Arial" w:hAnsi="Arial" w:cs="Arial"/>
        </w:rPr>
        <w:t>regionów oraz sposobu ujęcia funduszy UE. Jest to wielosektorowy, multiregionalny, strukturalny model makroekonomiczny oparty o metodologię dynamicznej stochastycznej równowagi ogólnej. Model umożliwia analizowanie podażowego i popytowego wpływu funduszy UE na gospodarkę z</w:t>
      </w:r>
      <w:r w:rsidR="00EF4149">
        <w:rPr>
          <w:rFonts w:ascii="Arial" w:hAnsi="Arial" w:cs="Arial"/>
        </w:rPr>
        <w:t> </w:t>
      </w:r>
      <w:r w:rsidRPr="00485D77">
        <w:rPr>
          <w:rFonts w:ascii="Arial" w:hAnsi="Arial" w:cs="Arial"/>
        </w:rPr>
        <w:t>uwzględnieniem podziału wsparcia na infrastrukturę podstawową, rozwój zasobów ludzkich i</w:t>
      </w:r>
      <w:r w:rsidR="00EF4149">
        <w:rPr>
          <w:rFonts w:ascii="Arial" w:hAnsi="Arial" w:cs="Arial"/>
        </w:rPr>
        <w:t> </w:t>
      </w:r>
      <w:r w:rsidRPr="00485D77">
        <w:rPr>
          <w:rFonts w:ascii="Arial" w:hAnsi="Arial" w:cs="Arial"/>
        </w:rPr>
        <w:t>bezpośrednie wsparcie przedsiębiorstw oraz na szesnaście polskich regionów (województw) i ich agregatów, takich jak Polska Wschodnia. Złożenie obu efektów w połączeniu z wahaniami zakresu i</w:t>
      </w:r>
      <w:r w:rsidR="00EF4149">
        <w:rPr>
          <w:rFonts w:ascii="Arial" w:hAnsi="Arial" w:cs="Arial"/>
        </w:rPr>
        <w:t> </w:t>
      </w:r>
      <w:r w:rsidRPr="00485D77">
        <w:rPr>
          <w:rFonts w:ascii="Arial" w:hAnsi="Arial" w:cs="Arial"/>
        </w:rPr>
        <w:t>skali wsparcia przekłada się na wahania szacowanego wpływu środków UE na poszczególne zmienne w kolejnych latach analizowanego okresu 2004-2033.</w:t>
      </w:r>
    </w:p>
    <w:p w14:paraId="41C885F5" w14:textId="18E58309" w:rsidR="00485D77" w:rsidRPr="00485D77" w:rsidRDefault="00485D77" w:rsidP="00917386">
      <w:pPr>
        <w:spacing w:after="120" w:line="276" w:lineRule="auto"/>
        <w:jc w:val="left"/>
        <w:rPr>
          <w:rFonts w:ascii="Arial" w:hAnsi="Arial" w:cs="Arial"/>
        </w:rPr>
      </w:pPr>
      <w:r w:rsidRPr="744077F9">
        <w:rPr>
          <w:rFonts w:ascii="Arial" w:hAnsi="Arial" w:cs="Arial"/>
        </w:rPr>
        <w:t xml:space="preserve">Wpływ funduszy oceniany jest poprzez porównanie scenariusza bazowego („z funduszami”), obejmującego historyczne (lata 2004-2023) i prognozowane (2024-2033) zachowanie się zmiennych makroekonomicznych symulowanych w modelu, ze scenariuszami kontrfaktycznymi („bez funduszy”), tj. hipotetycznymi scenariuszami rozwoju gospodarki polskiej w sytuacji, gdyby w latach 2004-2023 nie wydatkowano części lub całości środków polityki spójności i innych środków UE o podobnym charakterze. Przeprowadzono symulację trzynastu takich scenariuszy kontrfaktycznych podzielonych na cztery grupy: (I) „bez polityki spójności” (pięć scenariuszy odpowiadających brakowi środków polityki spójności z lat 2004-2006, 2007-2013, 2014-2020 i 2021-2027 oraz całości tych środków), </w:t>
      </w:r>
      <w:r>
        <w:br/>
      </w:r>
      <w:r w:rsidRPr="744077F9">
        <w:rPr>
          <w:rFonts w:ascii="Arial" w:hAnsi="Arial" w:cs="Arial"/>
        </w:rPr>
        <w:t xml:space="preserve">(II) bez PROW (cztery scenariusze odpowiadające brakowi środków z lat 2007-2013, 2014-2020, </w:t>
      </w:r>
      <w:r>
        <w:br/>
      </w:r>
      <w:r w:rsidRPr="744077F9">
        <w:rPr>
          <w:rFonts w:ascii="Arial" w:hAnsi="Arial" w:cs="Arial"/>
        </w:rPr>
        <w:t>2021-2027 oraz całości środków PROW), (III) bez KPO (trzy scenariusze odpowiadające brakowi środków grantowych, pożyczkowych oraz całości KPO), (IV) bez polityki spójności, PROW i KPO razem. W niniejszym raporcie prezentowane są wyniki porównujące scenariusz bazowy ze scenariuszem bez wszystkich analizowanych funduszy (IV). Pozostałe symulacje zostały przekazane w postaci załączników mających formę arkuszy kalkulacyjnych. Różnica między danym scenariuszem kontrfaktycznym a scenariuszem z funduszami obrazuje efekt danej interwencji, prezentowany jako odchylenie od scenariusza bazowego lub w przeliczeniu na jednostki naturalne.</w:t>
      </w:r>
    </w:p>
    <w:p w14:paraId="40362F6A" w14:textId="467B6DD7" w:rsidR="00485D77" w:rsidRPr="00485D77" w:rsidRDefault="00485D77" w:rsidP="00917386">
      <w:pPr>
        <w:spacing w:after="120" w:line="276" w:lineRule="auto"/>
        <w:jc w:val="left"/>
        <w:rPr>
          <w:rFonts w:ascii="Arial" w:hAnsi="Arial" w:cs="Arial"/>
        </w:rPr>
      </w:pPr>
      <w:r w:rsidRPr="00485D77">
        <w:rPr>
          <w:rFonts w:ascii="Arial" w:hAnsi="Arial" w:cs="Arial"/>
        </w:rPr>
        <w:t xml:space="preserve">Przeprowadzone symulacje pokazują, że na przestrzeni całego analizowanego okresu polski PKB był średnio o 4% wyższy w porównaniu do tego, co byłoby możliwe, gdyby Polska nie otrzymywała funduszy UE. W latach 2004-2014 różnica między faktycznie obserwowaną ścieżką wzrostu a scenariuszem „bez funduszy” stopniowo wzrastała, osiągając szczyt na wysokości 6,7% powyżej scenariusza kontrfaktycznego. Po przejściowym spadku wywołanym wygasaniem NSS 2007-2013 oraz opóźnionym uruchamianiem UP 2014-2020 odchylenie obserwowanej ścieżki wzrostu od scenariusza „bez funduszy” ponownie wzrosło do poziomu około 4,5% w roku 2022, przy czym </w:t>
      </w:r>
      <w:r w:rsidRPr="00485D77">
        <w:rPr>
          <w:rFonts w:ascii="Arial" w:hAnsi="Arial" w:cs="Arial"/>
        </w:rPr>
        <w:lastRenderedPageBreak/>
        <w:t>opóźnienie w rozpoczęciu wydatkowania środków KPO spowodowało, że szczyt ten był niższy niż w roku 2014. W latach 2024-2033 należy spodziewać się narastania kolejnej „fali” pozytywnego wpływu środków UE na polski PKB, ze szczytem w latach 2026-2027, kiedy krajowy PKB może być nawet 6,8% wyższy niż byłoby to</w:t>
      </w:r>
      <w:r w:rsidR="00EF4149">
        <w:rPr>
          <w:rFonts w:ascii="Arial" w:hAnsi="Arial" w:cs="Arial"/>
        </w:rPr>
        <w:t> </w:t>
      </w:r>
      <w:r w:rsidRPr="00485D77">
        <w:rPr>
          <w:rFonts w:ascii="Arial" w:hAnsi="Arial" w:cs="Arial"/>
        </w:rPr>
        <w:t>możliwe w scenariuszu kontrfaktycznym (bez funduszy).</w:t>
      </w:r>
    </w:p>
    <w:p w14:paraId="318E5F16" w14:textId="744419E9" w:rsidR="00485D77" w:rsidRPr="00485D77" w:rsidRDefault="00485D77" w:rsidP="00917386">
      <w:pPr>
        <w:spacing w:after="120" w:line="276" w:lineRule="auto"/>
        <w:jc w:val="left"/>
        <w:rPr>
          <w:rFonts w:ascii="Arial" w:hAnsi="Arial" w:cs="Arial"/>
        </w:rPr>
      </w:pPr>
      <w:r w:rsidRPr="39B74B15">
        <w:rPr>
          <w:rFonts w:ascii="Arial" w:hAnsi="Arial" w:cs="Arial"/>
        </w:rPr>
        <w:t>Dodatkowy wzrost PKB dzięki wydatkowaniu funduszy UE przełożył się także na szybsze tempo konwergencji wobec reszty Unii Europejskiej. Symulacje wskazują, że do roku 2013 luka rozwojowa między Polską a średnią UE-27 zmalała dzięki funduszom o ponad 4 p.p., a w roku 2027 może być nawet o 5,4 p.p. niższa niż byłoby to możliwe bez wydatkowania tych środków. W przyszłości - o ile środki KPO 2022-2026 i UP 2021-2027 nie zostaną po roku 2029 uzupełnione adekwatnym wsparciem z kolejnej perspektywy finansowej - należy spodziewać się szybkiego hamowania wzrostu gospodarczego i późniejszej konwergencji ze średnią UE. Na bazie przeprowadzonych symulacji można przypuszczać, że nawet gdyby przyszła polityka spójności była niższa niż do tej pory (ok. 1,5-2% PKB), możliwe byłoby podtrzymanie ścieżki wzrostu PKB per capita o około 3,5 p.p. ponad ścieżką kontrfaktyczną.</w:t>
      </w:r>
    </w:p>
    <w:p w14:paraId="3B3A47A3" w14:textId="527CEE7B" w:rsidR="00485D77" w:rsidRPr="00485D77" w:rsidRDefault="00485D77" w:rsidP="00917386">
      <w:pPr>
        <w:spacing w:after="120" w:line="276" w:lineRule="auto"/>
        <w:jc w:val="left"/>
        <w:rPr>
          <w:rFonts w:ascii="Arial" w:hAnsi="Arial" w:cs="Arial"/>
        </w:rPr>
      </w:pPr>
      <w:r w:rsidRPr="39B74B15">
        <w:rPr>
          <w:rFonts w:ascii="Arial" w:hAnsi="Arial" w:cs="Arial"/>
        </w:rPr>
        <w:t>Środki unijne miały szczególnie duże znaczenie dla przyspieszenia tempa konwergencji w</w:t>
      </w:r>
      <w:r w:rsidR="00EF4149" w:rsidRPr="39B74B15">
        <w:rPr>
          <w:rFonts w:ascii="Arial" w:hAnsi="Arial" w:cs="Arial"/>
        </w:rPr>
        <w:t> </w:t>
      </w:r>
      <w:r w:rsidRPr="39B74B15">
        <w:rPr>
          <w:rFonts w:ascii="Arial" w:hAnsi="Arial" w:cs="Arial"/>
        </w:rPr>
        <w:t xml:space="preserve">najbiedniejszych regionach Polski, zwłaszcza na wschodzie kraju. W </w:t>
      </w:r>
      <w:r w:rsidR="06D682CA" w:rsidRPr="39B74B15">
        <w:rPr>
          <w:rFonts w:ascii="Arial" w:hAnsi="Arial" w:cs="Arial"/>
        </w:rPr>
        <w:t>w</w:t>
      </w:r>
      <w:r w:rsidRPr="39B74B15">
        <w:rPr>
          <w:rFonts w:ascii="Arial" w:hAnsi="Arial" w:cs="Arial"/>
        </w:rPr>
        <w:t>armińsko-</w:t>
      </w:r>
      <w:r w:rsidR="00C35349">
        <w:rPr>
          <w:rFonts w:ascii="Arial" w:hAnsi="Arial" w:cs="Arial"/>
        </w:rPr>
        <w:t>m</w:t>
      </w:r>
      <w:r w:rsidRPr="39B74B15">
        <w:rPr>
          <w:rFonts w:ascii="Arial" w:hAnsi="Arial" w:cs="Arial"/>
        </w:rPr>
        <w:t>azurskim luka w</w:t>
      </w:r>
      <w:r w:rsidR="00EF4149" w:rsidRPr="39B74B15">
        <w:rPr>
          <w:rFonts w:ascii="Arial" w:hAnsi="Arial" w:cs="Arial"/>
        </w:rPr>
        <w:t> </w:t>
      </w:r>
      <w:r w:rsidRPr="39B74B15">
        <w:rPr>
          <w:rFonts w:ascii="Arial" w:hAnsi="Arial" w:cs="Arial"/>
        </w:rPr>
        <w:t xml:space="preserve">PKB per capita względem UE-27 zmniejszyła się średnio o około 3,6 p.p., podczas gdy w </w:t>
      </w:r>
      <w:r w:rsidR="7E1242AA" w:rsidRPr="39B74B15">
        <w:rPr>
          <w:rFonts w:ascii="Arial" w:hAnsi="Arial" w:cs="Arial"/>
        </w:rPr>
        <w:t>p</w:t>
      </w:r>
      <w:r w:rsidRPr="39B74B15">
        <w:rPr>
          <w:rFonts w:ascii="Arial" w:hAnsi="Arial" w:cs="Arial"/>
        </w:rPr>
        <w:t xml:space="preserve">odlaskim, </w:t>
      </w:r>
      <w:r w:rsidR="3FA8A219" w:rsidRPr="39B74B15">
        <w:rPr>
          <w:rFonts w:ascii="Arial" w:hAnsi="Arial" w:cs="Arial"/>
        </w:rPr>
        <w:t>l</w:t>
      </w:r>
      <w:r w:rsidRPr="39B74B15">
        <w:rPr>
          <w:rFonts w:ascii="Arial" w:hAnsi="Arial" w:cs="Arial"/>
        </w:rPr>
        <w:t xml:space="preserve">ubelskim i </w:t>
      </w:r>
      <w:r w:rsidR="6C9F9122" w:rsidRPr="39B74B15">
        <w:rPr>
          <w:rFonts w:ascii="Arial" w:hAnsi="Arial" w:cs="Arial"/>
        </w:rPr>
        <w:t>p</w:t>
      </w:r>
      <w:r w:rsidRPr="39B74B15">
        <w:rPr>
          <w:rFonts w:ascii="Arial" w:hAnsi="Arial" w:cs="Arial"/>
        </w:rPr>
        <w:t xml:space="preserve">odkarpackim o około 3,1-3,2 p.p. w całym okresie i około 4 p.p. w szczycie wsparcia. Niewiele mniej na wsparciu zyskały </w:t>
      </w:r>
      <w:r w:rsidR="2CAE135E" w:rsidRPr="39B74B15">
        <w:rPr>
          <w:rFonts w:ascii="Arial" w:hAnsi="Arial" w:cs="Arial"/>
        </w:rPr>
        <w:t>p</w:t>
      </w:r>
      <w:r w:rsidRPr="39B74B15">
        <w:rPr>
          <w:rFonts w:ascii="Arial" w:hAnsi="Arial" w:cs="Arial"/>
        </w:rPr>
        <w:t xml:space="preserve">omorskie, </w:t>
      </w:r>
      <w:r w:rsidR="2C199CEB" w:rsidRPr="39B74B15">
        <w:rPr>
          <w:rFonts w:ascii="Arial" w:hAnsi="Arial" w:cs="Arial"/>
        </w:rPr>
        <w:t>z</w:t>
      </w:r>
      <w:r w:rsidRPr="39B74B15">
        <w:rPr>
          <w:rFonts w:ascii="Arial" w:hAnsi="Arial" w:cs="Arial"/>
        </w:rPr>
        <w:t xml:space="preserve">achodniopomorskie, </w:t>
      </w:r>
      <w:r w:rsidR="27BDB699" w:rsidRPr="39B74B15">
        <w:rPr>
          <w:rFonts w:ascii="Arial" w:hAnsi="Arial" w:cs="Arial"/>
        </w:rPr>
        <w:t>ł</w:t>
      </w:r>
      <w:r w:rsidRPr="39B74B15">
        <w:rPr>
          <w:rFonts w:ascii="Arial" w:hAnsi="Arial" w:cs="Arial"/>
        </w:rPr>
        <w:t xml:space="preserve">ódzkie, </w:t>
      </w:r>
      <w:r w:rsidR="2053A48F" w:rsidRPr="39B74B15">
        <w:rPr>
          <w:rFonts w:ascii="Arial" w:hAnsi="Arial" w:cs="Arial"/>
        </w:rPr>
        <w:t>m</w:t>
      </w:r>
      <w:r w:rsidRPr="39B74B15">
        <w:rPr>
          <w:rFonts w:ascii="Arial" w:hAnsi="Arial" w:cs="Arial"/>
        </w:rPr>
        <w:t>azowieckie i</w:t>
      </w:r>
      <w:r w:rsidR="00EF4149" w:rsidRPr="39B74B15">
        <w:rPr>
          <w:rFonts w:ascii="Arial" w:hAnsi="Arial" w:cs="Arial"/>
        </w:rPr>
        <w:t> </w:t>
      </w:r>
      <w:r w:rsidR="3518429E" w:rsidRPr="39B74B15">
        <w:rPr>
          <w:rFonts w:ascii="Arial" w:hAnsi="Arial" w:cs="Arial"/>
        </w:rPr>
        <w:t>ś</w:t>
      </w:r>
      <w:r w:rsidRPr="39B74B15">
        <w:rPr>
          <w:rFonts w:ascii="Arial" w:hAnsi="Arial" w:cs="Arial"/>
        </w:rPr>
        <w:t>więtokrzyskie, które w większym stopniu korzystały z efektów rozlewania z innych części kraju. Trochę mniejsze znaczenie dla konwergencji miały środki UE dla Wielkopolski oraz Dolnego i Górnego Śląska, gdzie głównym silnikiem rozwoju pozostaje szybka industrializacja, odbywająca się w dużej części z innych przyczyn niż samo wsparcie środków UE. W tych regionach fundusze UE wsparły konwergencję o około 2,5 p.p. Symulacje wskazują przy tym, że w skali kraju nastąpił spadek zróżnicowania PKB per capita na poziomie N</w:t>
      </w:r>
      <w:r w:rsidR="005E259F">
        <w:rPr>
          <w:rFonts w:ascii="Arial" w:hAnsi="Arial" w:cs="Arial"/>
        </w:rPr>
        <w:t>U</w:t>
      </w:r>
      <w:r w:rsidRPr="39B74B15">
        <w:rPr>
          <w:rFonts w:ascii="Arial" w:hAnsi="Arial" w:cs="Arial"/>
        </w:rPr>
        <w:t>TS3 o około 0,5-1 p.p. w porównaniu do scenariusza „bez funduszy”. Ewentualna kolejna perspektywa finansowa rezerwująca środki dla Polski w skali 1,5-2% PKB mogłaby utrzymać ten efekt na zbliżonym poziomie do połowy lat trzydziestych.</w:t>
      </w:r>
    </w:p>
    <w:p w14:paraId="0119ABB6" w14:textId="3F39E66F" w:rsidR="00485D77" w:rsidRPr="00485D77" w:rsidRDefault="00485D77" w:rsidP="00917386">
      <w:pPr>
        <w:spacing w:after="120" w:line="276" w:lineRule="auto"/>
        <w:jc w:val="left"/>
        <w:rPr>
          <w:rFonts w:ascii="Arial" w:hAnsi="Arial" w:cs="Arial"/>
        </w:rPr>
      </w:pPr>
      <w:r w:rsidRPr="39B74B15">
        <w:rPr>
          <w:rFonts w:ascii="Arial" w:hAnsi="Arial" w:cs="Arial"/>
        </w:rPr>
        <w:t>Głównym źródłem pozytywnego oddziaływania funduszy UE na wzrost gospodarczy było ich</w:t>
      </w:r>
      <w:r w:rsidR="00EF4149" w:rsidRPr="39B74B15">
        <w:rPr>
          <w:rFonts w:ascii="Arial" w:hAnsi="Arial" w:cs="Arial"/>
        </w:rPr>
        <w:t> </w:t>
      </w:r>
      <w:r w:rsidRPr="39B74B15">
        <w:rPr>
          <w:rFonts w:ascii="Arial" w:hAnsi="Arial" w:cs="Arial"/>
        </w:rPr>
        <w:t>bezpośrednie przełożenie na inwestycje, które – zgodnie z szacunkami modelu VESPA3 – w latach 2011-2026 wzros</w:t>
      </w:r>
      <w:r w:rsidR="005E259F">
        <w:rPr>
          <w:rFonts w:ascii="Arial" w:hAnsi="Arial" w:cs="Arial"/>
        </w:rPr>
        <w:t>ną</w:t>
      </w:r>
      <w:r w:rsidRPr="39B74B15">
        <w:rPr>
          <w:rFonts w:ascii="Arial" w:hAnsi="Arial" w:cs="Arial"/>
        </w:rPr>
        <w:t xml:space="preserve"> o około 20-30% ponad poziom ze scenariusza kontrfaktycznego. Dzięki środkom UE do polskiej gospodarki </w:t>
      </w:r>
      <w:r w:rsidR="005E259F">
        <w:rPr>
          <w:rFonts w:ascii="Arial" w:hAnsi="Arial" w:cs="Arial"/>
        </w:rPr>
        <w:t xml:space="preserve">skierowanych trafiło lub ma trafić </w:t>
      </w:r>
      <w:r w:rsidRPr="39B74B15">
        <w:rPr>
          <w:rFonts w:ascii="Arial" w:hAnsi="Arial" w:cs="Arial"/>
        </w:rPr>
        <w:t xml:space="preserve">w tym czasie około 100 mld PLN środków inwestycyjnych rocznie więcej niż byłoby to możliwe bez wsparcia, podnosząc stopę inwestycji w środki trwałe o około </w:t>
      </w:r>
      <w:r>
        <w:br/>
      </w:r>
      <w:r w:rsidRPr="39B74B15">
        <w:rPr>
          <w:rFonts w:ascii="Arial" w:hAnsi="Arial" w:cs="Arial"/>
        </w:rPr>
        <w:t>2,5-3,5 p.p. rocznie. Wzrosły zarówno inwestycje publiczne, jak i prywatne, przy czym w odniesieniu do</w:t>
      </w:r>
      <w:r w:rsidR="00EF4149" w:rsidRPr="39B74B15">
        <w:rPr>
          <w:rFonts w:ascii="Arial" w:hAnsi="Arial" w:cs="Arial"/>
        </w:rPr>
        <w:t> </w:t>
      </w:r>
      <w:r w:rsidRPr="39B74B15">
        <w:rPr>
          <w:rFonts w:ascii="Arial" w:hAnsi="Arial" w:cs="Arial"/>
        </w:rPr>
        <w:t>tych pierwszych efekt względny był znacznie większy, głównie ze względu na niski poziom wyjściowy. Szczególnie duże znaczenie dla nakładów na akumulację miały fundusze UE w regionie Polski Wschodniej, gdzie</w:t>
      </w:r>
      <w:r w:rsidR="00395A3C">
        <w:rPr>
          <w:rFonts w:ascii="Arial" w:hAnsi="Arial" w:cs="Arial"/>
        </w:rPr>
        <w:t xml:space="preserve">, wedle szacunków, </w:t>
      </w:r>
      <w:r w:rsidRPr="39B74B15">
        <w:rPr>
          <w:rFonts w:ascii="Arial" w:hAnsi="Arial" w:cs="Arial"/>
        </w:rPr>
        <w:t xml:space="preserve">stopa inwestycji w całym okresie 2004-2033 </w:t>
      </w:r>
      <w:r w:rsidR="00395A3C">
        <w:rPr>
          <w:rFonts w:ascii="Arial" w:hAnsi="Arial" w:cs="Arial"/>
        </w:rPr>
        <w:t xml:space="preserve">powinna przekraczać </w:t>
      </w:r>
      <w:r w:rsidRPr="39B74B15">
        <w:rPr>
          <w:rFonts w:ascii="Arial" w:hAnsi="Arial" w:cs="Arial"/>
        </w:rPr>
        <w:t>o około 4 p.p., a</w:t>
      </w:r>
      <w:r w:rsidR="00EF4149" w:rsidRPr="39B74B15">
        <w:rPr>
          <w:rFonts w:ascii="Arial" w:hAnsi="Arial" w:cs="Arial"/>
        </w:rPr>
        <w:t> </w:t>
      </w:r>
      <w:r w:rsidRPr="39B74B15">
        <w:rPr>
          <w:rFonts w:ascii="Arial" w:hAnsi="Arial" w:cs="Arial"/>
        </w:rPr>
        <w:t>w</w:t>
      </w:r>
      <w:r w:rsidR="00EF4149" w:rsidRPr="39B74B15">
        <w:rPr>
          <w:rFonts w:ascii="Arial" w:hAnsi="Arial" w:cs="Arial"/>
        </w:rPr>
        <w:t> </w:t>
      </w:r>
      <w:r w:rsidRPr="39B74B15">
        <w:rPr>
          <w:rFonts w:ascii="Arial" w:hAnsi="Arial" w:cs="Arial"/>
        </w:rPr>
        <w:t>szczycie wsparcia nawet o 6-7 p.p</w:t>
      </w:r>
      <w:r w:rsidR="00395A3C">
        <w:rPr>
          <w:rFonts w:ascii="Arial" w:hAnsi="Arial" w:cs="Arial"/>
        </w:rPr>
        <w:t xml:space="preserve"> poziom referencyjny</w:t>
      </w:r>
      <w:r w:rsidRPr="39B74B15">
        <w:rPr>
          <w:rFonts w:ascii="Arial" w:hAnsi="Arial" w:cs="Arial"/>
        </w:rPr>
        <w:t xml:space="preserve">. W większości pozostałych województw efekt ten </w:t>
      </w:r>
      <w:r w:rsidR="00395A3C">
        <w:rPr>
          <w:rFonts w:ascii="Arial" w:hAnsi="Arial" w:cs="Arial"/>
        </w:rPr>
        <w:t xml:space="preserve">jest </w:t>
      </w:r>
      <w:r w:rsidRPr="39B74B15">
        <w:rPr>
          <w:rFonts w:ascii="Arial" w:hAnsi="Arial" w:cs="Arial"/>
        </w:rPr>
        <w:t>dwu-, a</w:t>
      </w:r>
      <w:r w:rsidR="00EF4149" w:rsidRPr="39B74B15">
        <w:rPr>
          <w:rFonts w:ascii="Arial" w:hAnsi="Arial" w:cs="Arial"/>
        </w:rPr>
        <w:t> </w:t>
      </w:r>
      <w:r w:rsidRPr="39B74B15">
        <w:rPr>
          <w:rFonts w:ascii="Arial" w:hAnsi="Arial" w:cs="Arial"/>
        </w:rPr>
        <w:t>nawet trzykrotnie (</w:t>
      </w:r>
      <w:r w:rsidR="7D782008" w:rsidRPr="39B74B15">
        <w:rPr>
          <w:rFonts w:ascii="Arial" w:hAnsi="Arial" w:cs="Arial"/>
        </w:rPr>
        <w:t>m</w:t>
      </w:r>
      <w:r w:rsidRPr="39B74B15">
        <w:rPr>
          <w:rFonts w:ascii="Arial" w:hAnsi="Arial" w:cs="Arial"/>
        </w:rPr>
        <w:t xml:space="preserve">azowieckie) mniejszy, co wynika zarówno z mniejszej skali środków wspierających inwestycje w porównaniu do wytwarzanego w nich PKB, jak i z wyższej stopy inwestycji już w scenariuszu kontrfaktycznym, </w:t>
      </w:r>
      <w:r w:rsidR="00395A3C">
        <w:rPr>
          <w:rFonts w:ascii="Arial" w:hAnsi="Arial" w:cs="Arial"/>
        </w:rPr>
        <w:t xml:space="preserve">będącej pochodną </w:t>
      </w:r>
      <w:r w:rsidRPr="39B74B15">
        <w:rPr>
          <w:rFonts w:ascii="Arial" w:hAnsi="Arial" w:cs="Arial"/>
        </w:rPr>
        <w:t>wyższego</w:t>
      </w:r>
      <w:r w:rsidR="00395A3C">
        <w:rPr>
          <w:rFonts w:ascii="Arial" w:hAnsi="Arial" w:cs="Arial"/>
        </w:rPr>
        <w:t>, wyjściowego</w:t>
      </w:r>
      <w:r w:rsidRPr="39B74B15">
        <w:rPr>
          <w:rFonts w:ascii="Arial" w:hAnsi="Arial" w:cs="Arial"/>
        </w:rPr>
        <w:t xml:space="preserve"> poziomu industrializacji.</w:t>
      </w:r>
    </w:p>
    <w:p w14:paraId="49F77411" w14:textId="1DD5BE4D" w:rsidR="00485D77" w:rsidRPr="00485D77" w:rsidRDefault="00485D77" w:rsidP="00917386">
      <w:pPr>
        <w:spacing w:after="120" w:line="276" w:lineRule="auto"/>
        <w:jc w:val="left"/>
        <w:rPr>
          <w:rFonts w:ascii="Arial" w:hAnsi="Arial" w:cs="Arial"/>
        </w:rPr>
      </w:pPr>
      <w:r w:rsidRPr="00485D77">
        <w:rPr>
          <w:rFonts w:ascii="Arial" w:hAnsi="Arial" w:cs="Arial"/>
        </w:rPr>
        <w:t xml:space="preserve">Fundusze UE </w:t>
      </w:r>
      <w:r w:rsidR="00395A3C">
        <w:rPr>
          <w:rFonts w:ascii="Arial" w:hAnsi="Arial" w:cs="Arial"/>
        </w:rPr>
        <w:t xml:space="preserve">mają </w:t>
      </w:r>
      <w:r w:rsidRPr="00485D77">
        <w:rPr>
          <w:rFonts w:ascii="Arial" w:hAnsi="Arial" w:cs="Arial"/>
        </w:rPr>
        <w:t xml:space="preserve">pozytywny wpływ także na wydatki badawczo-rozwojowe. Szacunki modelu VESPA wskazują, że ścieżka wydatków B+R przez większą część analizowanego okresu </w:t>
      </w:r>
      <w:r w:rsidR="00395A3C">
        <w:rPr>
          <w:rFonts w:ascii="Arial" w:hAnsi="Arial" w:cs="Arial"/>
        </w:rPr>
        <w:t xml:space="preserve">przewyższa </w:t>
      </w:r>
      <w:r w:rsidRPr="00485D77">
        <w:rPr>
          <w:rFonts w:ascii="Arial" w:hAnsi="Arial" w:cs="Arial"/>
        </w:rPr>
        <w:t xml:space="preserve">o około 0,2% PKB scenariusz „bez funduszy”. Środki UE </w:t>
      </w:r>
      <w:r w:rsidR="00395A3C" w:rsidRPr="00485D77">
        <w:rPr>
          <w:rFonts w:ascii="Arial" w:hAnsi="Arial" w:cs="Arial"/>
        </w:rPr>
        <w:t>oddział</w:t>
      </w:r>
      <w:r w:rsidR="00395A3C">
        <w:rPr>
          <w:rFonts w:ascii="Arial" w:hAnsi="Arial" w:cs="Arial"/>
        </w:rPr>
        <w:t>ują</w:t>
      </w:r>
      <w:r w:rsidR="00395A3C" w:rsidRPr="00485D77">
        <w:rPr>
          <w:rFonts w:ascii="Arial" w:hAnsi="Arial" w:cs="Arial"/>
        </w:rPr>
        <w:t xml:space="preserve"> </w:t>
      </w:r>
      <w:r w:rsidRPr="00485D77">
        <w:rPr>
          <w:rFonts w:ascii="Arial" w:hAnsi="Arial" w:cs="Arial"/>
        </w:rPr>
        <w:t xml:space="preserve">przy tym pozytywnie zarówno na publiczne, jak i prywatne wydatki badawczo-rozwojowe, przy czym w tym drugim przypadku </w:t>
      </w:r>
      <w:r w:rsidR="00395A3C">
        <w:rPr>
          <w:rFonts w:ascii="Arial" w:hAnsi="Arial" w:cs="Arial"/>
        </w:rPr>
        <w:t>sz</w:t>
      </w:r>
      <w:r w:rsidR="00C35349">
        <w:rPr>
          <w:rFonts w:ascii="Arial" w:hAnsi="Arial" w:cs="Arial"/>
        </w:rPr>
        <w:t>a</w:t>
      </w:r>
      <w:r w:rsidR="00395A3C">
        <w:rPr>
          <w:rFonts w:ascii="Arial" w:hAnsi="Arial" w:cs="Arial"/>
        </w:rPr>
        <w:t xml:space="preserve">cowany </w:t>
      </w:r>
      <w:r w:rsidRPr="00485D77">
        <w:rPr>
          <w:rFonts w:ascii="Arial" w:hAnsi="Arial" w:cs="Arial"/>
        </w:rPr>
        <w:t xml:space="preserve">wpływ </w:t>
      </w:r>
      <w:r w:rsidR="00395A3C">
        <w:rPr>
          <w:rFonts w:ascii="Arial" w:hAnsi="Arial" w:cs="Arial"/>
        </w:rPr>
        <w:t xml:space="preserve">jest </w:t>
      </w:r>
      <w:r w:rsidRPr="00485D77">
        <w:rPr>
          <w:rFonts w:ascii="Arial" w:hAnsi="Arial" w:cs="Arial"/>
        </w:rPr>
        <w:t>około dwukrotnie większy. Po zakładanym w symulacjach zakończeniu wspierania B+R ze</w:t>
      </w:r>
      <w:r w:rsidR="00EF4149">
        <w:rPr>
          <w:rFonts w:ascii="Arial" w:hAnsi="Arial" w:cs="Arial"/>
        </w:rPr>
        <w:t> </w:t>
      </w:r>
      <w:r w:rsidRPr="00485D77">
        <w:rPr>
          <w:rFonts w:ascii="Arial" w:hAnsi="Arial" w:cs="Arial"/>
        </w:rPr>
        <w:t>środków UE po roku 2025 należy spodziewać się zahamowania trendu wzrostowego tych wydatków do czasu, kiedy sekularny trend wzrostowy nie osiągnie odpowiednio wysokiego poziomu. Efekt ten nie</w:t>
      </w:r>
      <w:r w:rsidR="00EF4149">
        <w:rPr>
          <w:rFonts w:ascii="Arial" w:hAnsi="Arial" w:cs="Arial"/>
        </w:rPr>
        <w:t> </w:t>
      </w:r>
      <w:r w:rsidRPr="00485D77">
        <w:rPr>
          <w:rFonts w:ascii="Arial" w:hAnsi="Arial" w:cs="Arial"/>
        </w:rPr>
        <w:t>wystąpi, jeśli finansowanie działalności innowacyjnej firm i sektora publicznego ze środków UE będzie kontynuowane po roku 2029.</w:t>
      </w:r>
    </w:p>
    <w:p w14:paraId="0BA00BA2" w14:textId="2A0DED9C" w:rsidR="00485D77" w:rsidRPr="00485D77" w:rsidRDefault="00485D77" w:rsidP="00917386">
      <w:pPr>
        <w:spacing w:after="120" w:line="276" w:lineRule="auto"/>
        <w:jc w:val="left"/>
        <w:rPr>
          <w:rFonts w:ascii="Arial" w:hAnsi="Arial" w:cs="Arial"/>
        </w:rPr>
      </w:pPr>
      <w:r w:rsidRPr="39B74B15">
        <w:rPr>
          <w:rFonts w:ascii="Arial" w:hAnsi="Arial" w:cs="Arial"/>
        </w:rPr>
        <w:lastRenderedPageBreak/>
        <w:t xml:space="preserve">Oprócz inwestycji i PKB, wydatkowanie funduszy UE </w:t>
      </w:r>
      <w:r w:rsidR="00395A3C">
        <w:rPr>
          <w:rFonts w:ascii="Arial" w:hAnsi="Arial" w:cs="Arial"/>
        </w:rPr>
        <w:t xml:space="preserve">ma </w:t>
      </w:r>
      <w:r w:rsidRPr="39B74B15">
        <w:rPr>
          <w:rFonts w:ascii="Arial" w:hAnsi="Arial" w:cs="Arial"/>
        </w:rPr>
        <w:t>także silny wpływ na rynek pracy. Symulacje wskazują, że w latach 2004-2023 liczba pracujących była średnio o prawie 400 tys. osób rocznie wyższa w porównaniu do scenariusza „bez funduszy”. Najsilniej (o około 3,7-4,4%) zatrudnienie wzrosło w</w:t>
      </w:r>
      <w:r w:rsidR="00EF4149" w:rsidRPr="39B74B15">
        <w:rPr>
          <w:rFonts w:ascii="Arial" w:hAnsi="Arial" w:cs="Arial"/>
        </w:rPr>
        <w:t> </w:t>
      </w:r>
      <w:r w:rsidRPr="39B74B15">
        <w:rPr>
          <w:rFonts w:ascii="Arial" w:hAnsi="Arial" w:cs="Arial"/>
        </w:rPr>
        <w:t xml:space="preserve">regionach relatywnie najbiedniejszych (Polska Wschodnia), a najmniej w regionach najbardziej rozwiniętych (w tym w województwach </w:t>
      </w:r>
      <w:r w:rsidR="14653E8C" w:rsidRPr="39B74B15">
        <w:rPr>
          <w:rFonts w:ascii="Arial" w:hAnsi="Arial" w:cs="Arial"/>
        </w:rPr>
        <w:t>m</w:t>
      </w:r>
      <w:r w:rsidRPr="39B74B15">
        <w:rPr>
          <w:rFonts w:ascii="Arial" w:hAnsi="Arial" w:cs="Arial"/>
        </w:rPr>
        <w:t xml:space="preserve">azowieckim, </w:t>
      </w:r>
      <w:r w:rsidR="25029AE1" w:rsidRPr="39B74B15">
        <w:rPr>
          <w:rFonts w:ascii="Arial" w:hAnsi="Arial" w:cs="Arial"/>
        </w:rPr>
        <w:t>d</w:t>
      </w:r>
      <w:r w:rsidRPr="39B74B15">
        <w:rPr>
          <w:rFonts w:ascii="Arial" w:hAnsi="Arial" w:cs="Arial"/>
        </w:rPr>
        <w:t xml:space="preserve">olnośląskim i </w:t>
      </w:r>
      <w:r w:rsidR="51DEDA76" w:rsidRPr="39B74B15">
        <w:rPr>
          <w:rFonts w:ascii="Arial" w:hAnsi="Arial" w:cs="Arial"/>
        </w:rPr>
        <w:t>w</w:t>
      </w:r>
      <w:r w:rsidRPr="39B74B15">
        <w:rPr>
          <w:rFonts w:ascii="Arial" w:hAnsi="Arial" w:cs="Arial"/>
        </w:rPr>
        <w:t>ielkopolskim, gdzie wzrost wyniósł 1,6-2,0%). Wzrost liczby pracujących oznaczał także wzrost wskaźnika zatrudnienia o około 1,5-2,5 punktów ponad scenariusz kontrfaktyczny, ponownie z silniejszym efektem w Polsce Wschodniej niż w reszcie kraju. Wzrost zatrudnienia odbywa się częściowo dzięki spadkowi bezrobocia, a częściowo dzięki zmianom w poziomie aktywności zawodowej. Wyższa liczba osób pracujących i</w:t>
      </w:r>
      <w:r w:rsidR="00EF4149" w:rsidRPr="39B74B15">
        <w:rPr>
          <w:rFonts w:ascii="Arial" w:hAnsi="Arial" w:cs="Arial"/>
        </w:rPr>
        <w:t> </w:t>
      </w:r>
      <w:r w:rsidRPr="39B74B15">
        <w:rPr>
          <w:rFonts w:ascii="Arial" w:hAnsi="Arial" w:cs="Arial"/>
        </w:rPr>
        <w:t xml:space="preserve">wskaźnik zatrudnienia utrzymują się nawet 5 lat po zakończeniu wydatkowania, a pojawienie się środków z ewentualnej kolejnej perspektywy finansowej </w:t>
      </w:r>
      <w:r w:rsidR="00395A3C">
        <w:rPr>
          <w:rFonts w:ascii="Arial" w:hAnsi="Arial" w:cs="Arial"/>
        </w:rPr>
        <w:t xml:space="preserve">(2027+) </w:t>
      </w:r>
      <w:r w:rsidRPr="39B74B15">
        <w:rPr>
          <w:rFonts w:ascii="Arial" w:hAnsi="Arial" w:cs="Arial"/>
        </w:rPr>
        <w:t>mogłyby ten efekt dodatkowo wzmocnić.</w:t>
      </w:r>
    </w:p>
    <w:p w14:paraId="73603231" w14:textId="213BBE8F" w:rsidR="00485D77" w:rsidRPr="00485D77" w:rsidRDefault="00485D77" w:rsidP="00917386">
      <w:pPr>
        <w:spacing w:after="120" w:line="276" w:lineRule="auto"/>
        <w:jc w:val="left"/>
        <w:rPr>
          <w:rFonts w:ascii="Arial" w:hAnsi="Arial" w:cs="Arial"/>
        </w:rPr>
      </w:pPr>
      <w:r w:rsidRPr="00485D77">
        <w:rPr>
          <w:rFonts w:ascii="Arial" w:hAnsi="Arial" w:cs="Arial"/>
        </w:rPr>
        <w:t xml:space="preserve">Zwiększenie zatrudnienia </w:t>
      </w:r>
      <w:r w:rsidR="00395A3C" w:rsidRPr="00485D77">
        <w:rPr>
          <w:rFonts w:ascii="Arial" w:hAnsi="Arial" w:cs="Arial"/>
        </w:rPr>
        <w:t>wią</w:t>
      </w:r>
      <w:r w:rsidR="00395A3C">
        <w:rPr>
          <w:rFonts w:ascii="Arial" w:hAnsi="Arial" w:cs="Arial"/>
        </w:rPr>
        <w:t>że</w:t>
      </w:r>
      <w:r w:rsidR="00395A3C" w:rsidRPr="00485D77">
        <w:rPr>
          <w:rFonts w:ascii="Arial" w:hAnsi="Arial" w:cs="Arial"/>
        </w:rPr>
        <w:t xml:space="preserve"> </w:t>
      </w:r>
      <w:r w:rsidRPr="00485D77">
        <w:rPr>
          <w:rFonts w:ascii="Arial" w:hAnsi="Arial" w:cs="Arial"/>
        </w:rPr>
        <w:t xml:space="preserve">się wprost ze spadkiem bezrobocia. </w:t>
      </w:r>
      <w:r w:rsidR="00395A3C">
        <w:rPr>
          <w:rFonts w:ascii="Arial" w:hAnsi="Arial" w:cs="Arial"/>
        </w:rPr>
        <w:t>Wedla szacunków modelu VESPA s</w:t>
      </w:r>
      <w:r w:rsidR="00395A3C" w:rsidRPr="00485D77">
        <w:rPr>
          <w:rFonts w:ascii="Arial" w:hAnsi="Arial" w:cs="Arial"/>
        </w:rPr>
        <w:t xml:space="preserve">topa </w:t>
      </w:r>
      <w:r w:rsidRPr="00485D77">
        <w:rPr>
          <w:rFonts w:ascii="Arial" w:hAnsi="Arial" w:cs="Arial"/>
        </w:rPr>
        <w:t xml:space="preserve">bezrobocia w przekroju całego analizowanego okresu </w:t>
      </w:r>
      <w:r w:rsidR="00395A3C">
        <w:rPr>
          <w:rFonts w:ascii="Arial" w:hAnsi="Arial" w:cs="Arial"/>
        </w:rPr>
        <w:t xml:space="preserve">kształtuje się </w:t>
      </w:r>
      <w:r w:rsidRPr="00485D77">
        <w:rPr>
          <w:rFonts w:ascii="Arial" w:hAnsi="Arial" w:cs="Arial"/>
        </w:rPr>
        <w:t xml:space="preserve">– zależnie od regionu – od 0,6 do 2,8 p.p. </w:t>
      </w:r>
      <w:r w:rsidR="00395A3C">
        <w:rPr>
          <w:rFonts w:ascii="Arial" w:hAnsi="Arial" w:cs="Arial"/>
        </w:rPr>
        <w:t xml:space="preserve">niżej od poziomu jaki przyjęłaby </w:t>
      </w:r>
      <w:r w:rsidRPr="00485D77">
        <w:rPr>
          <w:rFonts w:ascii="Arial" w:hAnsi="Arial" w:cs="Arial"/>
        </w:rPr>
        <w:t xml:space="preserve">w scenariuszu kontrfaktycznym, przy czym najsilniejsze oddziaływanie </w:t>
      </w:r>
      <w:r w:rsidR="00395A3C">
        <w:rPr>
          <w:rFonts w:ascii="Arial" w:hAnsi="Arial" w:cs="Arial"/>
        </w:rPr>
        <w:t xml:space="preserve">funduszy UE </w:t>
      </w:r>
      <w:r w:rsidRPr="00485D77">
        <w:rPr>
          <w:rFonts w:ascii="Arial" w:hAnsi="Arial" w:cs="Arial"/>
        </w:rPr>
        <w:t>dotyczy relatywnie najmniej rozwiniętych województw, w których bazowy poziom bezrobocia był wyjściowo najwyższy. Szacunki modelu wskazują przy tym, że finansowanie rozwoju ze środków unijnych było szczególnie pomocne w okresie spowolnienia wywołanego kryzysem w strefie euro (lata 2011-2014). Dzięki nim stopa bezrobocia wzrosła nieznacznie, pozostając o 3-4 p.p. poniżej scenariusza „bez funduszy”. Szacunki wskazują</w:t>
      </w:r>
      <w:r w:rsidR="00395A3C">
        <w:rPr>
          <w:rFonts w:ascii="Arial" w:hAnsi="Arial" w:cs="Arial"/>
        </w:rPr>
        <w:t xml:space="preserve"> także</w:t>
      </w:r>
      <w:r w:rsidRPr="00485D77">
        <w:rPr>
          <w:rFonts w:ascii="Arial" w:hAnsi="Arial" w:cs="Arial"/>
        </w:rPr>
        <w:t>, że</w:t>
      </w:r>
      <w:r w:rsidR="00EF4149">
        <w:rPr>
          <w:rFonts w:ascii="Arial" w:hAnsi="Arial" w:cs="Arial"/>
        </w:rPr>
        <w:t> </w:t>
      </w:r>
      <w:r w:rsidRPr="00485D77">
        <w:rPr>
          <w:rFonts w:ascii="Arial" w:hAnsi="Arial" w:cs="Arial"/>
        </w:rPr>
        <w:t>liczba bezrobotnych obniżyła się w tym czasie bardziej niż wzrosło zatrudnienie, poprzez umożliwienie akumulacji kapitału ludzkiego przez część (około 50-100 tys.) osób, które w innym przypadku stałyby się bezrobotne. Przyniosło to pozytywne owoce wraz z ożywieniem po roku 2014, kiedy zatrudnienie i</w:t>
      </w:r>
      <w:r w:rsidR="00EF4149">
        <w:rPr>
          <w:rFonts w:ascii="Arial" w:hAnsi="Arial" w:cs="Arial"/>
        </w:rPr>
        <w:t> </w:t>
      </w:r>
      <w:r w:rsidRPr="00485D77">
        <w:rPr>
          <w:rFonts w:ascii="Arial" w:hAnsi="Arial" w:cs="Arial"/>
        </w:rPr>
        <w:t>aktywność zaczęły szybko rosnąć.</w:t>
      </w:r>
    </w:p>
    <w:p w14:paraId="5F205BA0" w14:textId="177E1C6E" w:rsidR="00485D77" w:rsidRPr="00485D77" w:rsidRDefault="00485D77" w:rsidP="00917386">
      <w:pPr>
        <w:spacing w:after="120" w:line="276" w:lineRule="auto"/>
        <w:jc w:val="left"/>
        <w:rPr>
          <w:rFonts w:ascii="Arial" w:hAnsi="Arial" w:cs="Arial"/>
        </w:rPr>
      </w:pPr>
      <w:r w:rsidRPr="00485D77">
        <w:rPr>
          <w:rFonts w:ascii="Arial" w:hAnsi="Arial" w:cs="Arial"/>
        </w:rPr>
        <w:t xml:space="preserve">Model VESPA szacuje, że fundusze UE </w:t>
      </w:r>
      <w:r w:rsidR="00395A3C" w:rsidRPr="00485D77">
        <w:rPr>
          <w:rFonts w:ascii="Arial" w:hAnsi="Arial" w:cs="Arial"/>
        </w:rPr>
        <w:t>oddział</w:t>
      </w:r>
      <w:r w:rsidR="00395A3C">
        <w:rPr>
          <w:rFonts w:ascii="Arial" w:hAnsi="Arial" w:cs="Arial"/>
        </w:rPr>
        <w:t>ują</w:t>
      </w:r>
      <w:r w:rsidR="00395A3C" w:rsidRPr="00485D77">
        <w:rPr>
          <w:rFonts w:ascii="Arial" w:hAnsi="Arial" w:cs="Arial"/>
        </w:rPr>
        <w:t xml:space="preserve"> </w:t>
      </w:r>
      <w:r w:rsidRPr="00485D77">
        <w:rPr>
          <w:rFonts w:ascii="Arial" w:hAnsi="Arial" w:cs="Arial"/>
        </w:rPr>
        <w:t>pozytywnie także na produktywność pracy i</w:t>
      </w:r>
      <w:r w:rsidR="00EF4149">
        <w:rPr>
          <w:rFonts w:ascii="Arial" w:hAnsi="Arial" w:cs="Arial"/>
        </w:rPr>
        <w:t> </w:t>
      </w:r>
      <w:r w:rsidRPr="00485D77">
        <w:rPr>
          <w:rFonts w:ascii="Arial" w:hAnsi="Arial" w:cs="Arial"/>
        </w:rPr>
        <w:t xml:space="preserve">wynagrodzenia, zbliżając je w szczycie wpływu o około 1,2-1,8 p.p. do średniej UE-27. Oddziaływanie środków UE na produktywność </w:t>
      </w:r>
      <w:r w:rsidR="00395A3C">
        <w:rPr>
          <w:rFonts w:ascii="Arial" w:hAnsi="Arial" w:cs="Arial"/>
        </w:rPr>
        <w:t xml:space="preserve">jest </w:t>
      </w:r>
      <w:r w:rsidRPr="00485D77">
        <w:rPr>
          <w:rFonts w:ascii="Arial" w:hAnsi="Arial" w:cs="Arial"/>
        </w:rPr>
        <w:t xml:space="preserve">mniejsze niż ich oddziaływanie na PKB i liczbę pracujących, jednak w połączeniu ze wzrostem aktywności zawodowej i spadkiem bezrobocia </w:t>
      </w:r>
      <w:r w:rsidR="00395A3C">
        <w:rPr>
          <w:rFonts w:ascii="Arial" w:hAnsi="Arial" w:cs="Arial"/>
        </w:rPr>
        <w:t xml:space="preserve">podnosi </w:t>
      </w:r>
      <w:r w:rsidRPr="00485D77">
        <w:rPr>
          <w:rFonts w:ascii="Arial" w:hAnsi="Arial" w:cs="Arial"/>
        </w:rPr>
        <w:t>dochod</w:t>
      </w:r>
      <w:r w:rsidR="00395A3C">
        <w:rPr>
          <w:rFonts w:ascii="Arial" w:hAnsi="Arial" w:cs="Arial"/>
        </w:rPr>
        <w:t>y</w:t>
      </w:r>
      <w:r w:rsidRPr="00485D77">
        <w:rPr>
          <w:rFonts w:ascii="Arial" w:hAnsi="Arial" w:cs="Arial"/>
        </w:rPr>
        <w:t xml:space="preserve"> do dyspozycji gospodarstw domowych o 5-7 p.p. ponad scenariusz kontrfaktyczny. Symulacje modelem VESPA sugerują ponadto, że wpływ funduszy UE na</w:t>
      </w:r>
      <w:r w:rsidR="00EF4149">
        <w:rPr>
          <w:rFonts w:ascii="Arial" w:hAnsi="Arial" w:cs="Arial"/>
        </w:rPr>
        <w:t> </w:t>
      </w:r>
      <w:r w:rsidRPr="00485D77">
        <w:rPr>
          <w:rFonts w:ascii="Arial" w:hAnsi="Arial" w:cs="Arial"/>
        </w:rPr>
        <w:t xml:space="preserve">produktywność </w:t>
      </w:r>
      <w:r w:rsidR="00395A3C">
        <w:rPr>
          <w:rFonts w:ascii="Arial" w:hAnsi="Arial" w:cs="Arial"/>
        </w:rPr>
        <w:t xml:space="preserve">jest </w:t>
      </w:r>
      <w:r w:rsidRPr="00485D77">
        <w:rPr>
          <w:rFonts w:ascii="Arial" w:hAnsi="Arial" w:cs="Arial"/>
        </w:rPr>
        <w:t>relatywnie mało zróżnicowany regionalnie, a silniejszy wzrost dochodów do</w:t>
      </w:r>
      <w:r w:rsidR="00EF4149">
        <w:rPr>
          <w:rFonts w:ascii="Arial" w:hAnsi="Arial" w:cs="Arial"/>
        </w:rPr>
        <w:t> </w:t>
      </w:r>
      <w:r w:rsidRPr="00485D77">
        <w:rPr>
          <w:rFonts w:ascii="Arial" w:hAnsi="Arial" w:cs="Arial"/>
        </w:rPr>
        <w:t>dyspozycji w regionach wyjściowo mniej rozwiniętych należy przypisać raczej poprawie sytuacji na rynku pracy (spadek bezrobocia, wzrost zatrudnienia).</w:t>
      </w:r>
    </w:p>
    <w:p w14:paraId="68978299" w14:textId="65E7936C" w:rsidR="00485D77" w:rsidRPr="00485D77" w:rsidRDefault="00485D77" w:rsidP="00917386">
      <w:pPr>
        <w:spacing w:after="120" w:line="276" w:lineRule="auto"/>
        <w:jc w:val="left"/>
        <w:rPr>
          <w:rFonts w:ascii="Arial" w:hAnsi="Arial" w:cs="Arial"/>
        </w:rPr>
      </w:pPr>
      <w:r w:rsidRPr="00485D77">
        <w:rPr>
          <w:rFonts w:ascii="Arial" w:hAnsi="Arial" w:cs="Arial"/>
        </w:rPr>
        <w:t xml:space="preserve">Pochodną tych zjawisk </w:t>
      </w:r>
      <w:r w:rsidR="00395A3C">
        <w:rPr>
          <w:rFonts w:ascii="Arial" w:hAnsi="Arial" w:cs="Arial"/>
        </w:rPr>
        <w:t>jest</w:t>
      </w:r>
      <w:r w:rsidR="00395A3C" w:rsidRPr="00485D77">
        <w:rPr>
          <w:rFonts w:ascii="Arial" w:hAnsi="Arial" w:cs="Arial"/>
        </w:rPr>
        <w:t xml:space="preserve"> </w:t>
      </w:r>
      <w:r w:rsidRPr="00485D77">
        <w:rPr>
          <w:rFonts w:ascii="Arial" w:hAnsi="Arial" w:cs="Arial"/>
        </w:rPr>
        <w:t>spadek zagrożenia ubóstwem i wykluczeniem społecznym oraz zagrożenia ubóstwem relatywnym. Zgodnie z symulacjami modelu VESPA fundusze UE przyczyniły się w szczycie swojego oddziaływania do obniżenia ubóstwa o około 1,5-2,5 p.p. w okresie spowolnienia gospodarczego lat 2011-2014. Podobnie pozytywny wpływ środki UE miały na ubóstwo relatywne, obniżając je w tym czasie o około 1-1,5 p.p. Środki polityki spójności i innych instrumentów o podobnym charakterze oddziaływały także na poziom nierówności, obniżając wskaźnik Giniego w</w:t>
      </w:r>
      <w:r w:rsidR="00EF4149">
        <w:rPr>
          <w:rFonts w:ascii="Arial" w:hAnsi="Arial" w:cs="Arial"/>
        </w:rPr>
        <w:t> </w:t>
      </w:r>
      <w:r w:rsidRPr="00485D77">
        <w:rPr>
          <w:rFonts w:ascii="Arial" w:hAnsi="Arial" w:cs="Arial"/>
        </w:rPr>
        <w:t>Polsce o około 1,2-1,5 p.p. wobec poziomu w scenariuszu kontrfaktycznym.</w:t>
      </w:r>
    </w:p>
    <w:p w14:paraId="40A0865F" w14:textId="16FDA79F" w:rsidR="00485D77" w:rsidRPr="00485D77" w:rsidRDefault="00485D77" w:rsidP="00917386">
      <w:pPr>
        <w:spacing w:after="120" w:line="276" w:lineRule="auto"/>
        <w:jc w:val="left"/>
        <w:rPr>
          <w:rFonts w:ascii="Arial" w:hAnsi="Arial" w:cs="Arial"/>
        </w:rPr>
      </w:pPr>
      <w:r w:rsidRPr="00485D77">
        <w:rPr>
          <w:rFonts w:ascii="Arial" w:hAnsi="Arial" w:cs="Arial"/>
        </w:rPr>
        <w:t xml:space="preserve">Wzrost produktywności, zatrudnienia, PKB i dochodów w następstwie wydatkowania środków UE przełożył się pozytywnie także na finanse publiczne. Ze względu na konieczność prefinansowania wydatków UE, wpływ ten </w:t>
      </w:r>
      <w:r w:rsidR="00395A3C">
        <w:rPr>
          <w:rFonts w:ascii="Arial" w:hAnsi="Arial" w:cs="Arial"/>
        </w:rPr>
        <w:t xml:space="preserve">jest </w:t>
      </w:r>
      <w:r w:rsidRPr="00485D77">
        <w:rPr>
          <w:rFonts w:ascii="Arial" w:hAnsi="Arial" w:cs="Arial"/>
        </w:rPr>
        <w:t xml:space="preserve">jednak przesunięty w czasie, w pełni ujawniając się w latach 2012-2030, kiedy </w:t>
      </w:r>
      <w:r w:rsidR="00395A3C">
        <w:rPr>
          <w:rFonts w:ascii="Arial" w:hAnsi="Arial" w:cs="Arial"/>
        </w:rPr>
        <w:t xml:space="preserve">– wedle szacunków - </w:t>
      </w:r>
      <w:r w:rsidRPr="00485D77">
        <w:rPr>
          <w:rFonts w:ascii="Arial" w:hAnsi="Arial" w:cs="Arial"/>
        </w:rPr>
        <w:t>sektor finansów publicznych zyskuje netto około 1% PKB średniorocznie w</w:t>
      </w:r>
      <w:r w:rsidR="00EF4149">
        <w:rPr>
          <w:rFonts w:ascii="Arial" w:hAnsi="Arial" w:cs="Arial"/>
        </w:rPr>
        <w:t> </w:t>
      </w:r>
      <w:r w:rsidRPr="00485D77">
        <w:rPr>
          <w:rFonts w:ascii="Arial" w:hAnsi="Arial" w:cs="Arial"/>
        </w:rPr>
        <w:t xml:space="preserve">porównaniu </w:t>
      </w:r>
      <w:r w:rsidR="00395A3C">
        <w:rPr>
          <w:rFonts w:ascii="Arial" w:hAnsi="Arial" w:cs="Arial"/>
        </w:rPr>
        <w:t xml:space="preserve">do </w:t>
      </w:r>
      <w:r w:rsidR="00395A3C" w:rsidRPr="00485D77">
        <w:rPr>
          <w:rFonts w:ascii="Arial" w:hAnsi="Arial" w:cs="Arial"/>
        </w:rPr>
        <w:t>scenariusz</w:t>
      </w:r>
      <w:r w:rsidR="00395A3C">
        <w:rPr>
          <w:rFonts w:ascii="Arial" w:hAnsi="Arial" w:cs="Arial"/>
        </w:rPr>
        <w:t>a</w:t>
      </w:r>
      <w:r w:rsidR="00395A3C" w:rsidRPr="00485D77">
        <w:rPr>
          <w:rFonts w:ascii="Arial" w:hAnsi="Arial" w:cs="Arial"/>
        </w:rPr>
        <w:t xml:space="preserve"> </w:t>
      </w:r>
      <w:r w:rsidRPr="00485D77">
        <w:rPr>
          <w:rFonts w:ascii="Arial" w:hAnsi="Arial" w:cs="Arial"/>
        </w:rPr>
        <w:t>„bez funduszy”. Sytuacja ta przekłada się bezpośrednio na mniejsze potrzeby pożyczkowe, a co za tym idzie, na niższy dług publiczny. Dopiero po roku 2030 – po</w:t>
      </w:r>
      <w:r w:rsidR="00EF4149">
        <w:rPr>
          <w:rFonts w:ascii="Arial" w:hAnsi="Arial" w:cs="Arial"/>
        </w:rPr>
        <w:t> </w:t>
      </w:r>
      <w:r w:rsidRPr="00485D77">
        <w:rPr>
          <w:rFonts w:ascii="Arial" w:hAnsi="Arial" w:cs="Arial"/>
        </w:rPr>
        <w:t>zakończeniu wydatkowania funduszy z analizowanych perspektyw – efekt ten zaczyna zanikać, jednak nawet w roku 2033 jest pozytywny, dzięki wyższemu PKB, zatrudnieniu i dochodom.</w:t>
      </w:r>
    </w:p>
    <w:p w14:paraId="0863D96F" w14:textId="1C1443B3" w:rsidR="009B5712" w:rsidRDefault="00485D77" w:rsidP="00917386">
      <w:pPr>
        <w:spacing w:after="120" w:line="276" w:lineRule="auto"/>
        <w:jc w:val="left"/>
      </w:pPr>
      <w:r w:rsidRPr="00485D77">
        <w:rPr>
          <w:rFonts w:ascii="Arial" w:hAnsi="Arial" w:cs="Arial"/>
        </w:rPr>
        <w:t xml:space="preserve">W wyniku wydatkowania funduszy UE wzrastały zarówno eksport, jak i import. Model VESPA wskazuje, że w okresie 2004-2020 można było mówić o względnym równoważeniu się obu efektów </w:t>
      </w:r>
      <w:r w:rsidRPr="00485D77">
        <w:rPr>
          <w:rFonts w:ascii="Arial" w:hAnsi="Arial" w:cs="Arial"/>
        </w:rPr>
        <w:lastRenderedPageBreak/>
        <w:t>i</w:t>
      </w:r>
      <w:r w:rsidR="00EF4149">
        <w:rPr>
          <w:rFonts w:ascii="Arial" w:hAnsi="Arial" w:cs="Arial"/>
        </w:rPr>
        <w:t> </w:t>
      </w:r>
      <w:r w:rsidRPr="00485D77">
        <w:rPr>
          <w:rFonts w:ascii="Arial" w:hAnsi="Arial" w:cs="Arial"/>
        </w:rPr>
        <w:t>neutralnym oddziaływaniu wsparcia unijnego na bilans obrotów bieżących. Z czasem jednak możliwości eksportowe polskich firm wzrosły na tyle, że przeważyły nad potrzebami importowymi stymulowanymi wzmożoną aktywnością inwestycyjną, wspierając poprawę salda obrotów bieżących. Symulacje wskazują, że wpływ na nie powinien mieć charakter trwały, a w wyniku wsparcia UE doszło do fundamentalnej poprawy krajowych Terms of Trade, wspomagając przeobrażanie się Polski z kraju deficytu handlowego w kraj nadwyżkowy.</w:t>
      </w:r>
      <w:r w:rsidR="009B5712">
        <w:br w:type="page"/>
      </w:r>
    </w:p>
    <w:p w14:paraId="203EC88B" w14:textId="2F9812B3" w:rsidR="0075631F" w:rsidRPr="009F5351" w:rsidRDefault="009B5712" w:rsidP="00917386">
      <w:pPr>
        <w:pStyle w:val="Styl2"/>
        <w:jc w:val="left"/>
      </w:pPr>
      <w:bookmarkStart w:id="7" w:name="_Toc176241610"/>
      <w:bookmarkEnd w:id="6"/>
      <w:r>
        <w:lastRenderedPageBreak/>
        <w:t>Wprowadzenie - z</w:t>
      </w:r>
      <w:r w:rsidR="0029205D" w:rsidRPr="009F5351">
        <w:t>ałożenia modelu</w:t>
      </w:r>
      <w:r>
        <w:t xml:space="preserve"> wraz z opisem metodologii badania</w:t>
      </w:r>
      <w:bookmarkEnd w:id="7"/>
    </w:p>
    <w:p w14:paraId="6465D4E8" w14:textId="65038C83" w:rsidR="009F5351" w:rsidRPr="00917386" w:rsidRDefault="009F5351" w:rsidP="00917386">
      <w:pPr>
        <w:pStyle w:val="Styl1"/>
        <w:jc w:val="left"/>
        <w:rPr>
          <w:rFonts w:asciiTheme="minorHAnsi" w:hAnsiTheme="minorHAnsi" w:cstheme="minorHAnsi"/>
          <w:color w:val="auto"/>
        </w:rPr>
      </w:pPr>
      <w:bookmarkStart w:id="8" w:name="_Toc176241611"/>
      <w:r w:rsidRPr="00917386">
        <w:rPr>
          <w:rFonts w:asciiTheme="minorHAnsi" w:hAnsiTheme="minorHAnsi" w:cstheme="minorHAnsi"/>
          <w:color w:val="auto"/>
        </w:rPr>
        <w:t>Główne cechy</w:t>
      </w:r>
      <w:bookmarkEnd w:id="8"/>
    </w:p>
    <w:p w14:paraId="774FB6DD" w14:textId="22BB421F" w:rsidR="007933AF" w:rsidRPr="005C3719" w:rsidRDefault="007933AF" w:rsidP="00917386">
      <w:pPr>
        <w:spacing w:after="120" w:line="276" w:lineRule="auto"/>
        <w:jc w:val="left"/>
        <w:rPr>
          <w:rFonts w:ascii="Arial" w:hAnsi="Arial" w:cs="Arial"/>
        </w:rPr>
      </w:pPr>
      <w:r w:rsidRPr="005C3719">
        <w:rPr>
          <w:rFonts w:ascii="Arial" w:hAnsi="Arial" w:cs="Arial"/>
        </w:rPr>
        <w:t>Ilościowym modelem, który zastosowano do przeprowadzania oceny wpływu realizacji polityki spójności i innych instrumentów finansowanych z funduszy UE na kształtowanie się wybranych wskaźników makroekonomicznych na poziomie krajowym i regionalnym jest model VESPA (Bukowski, Pokorski 2019) w wersji dostosowanej (m.in. pod względem liczby sektorów i regionów oraz sposobu ujęcia funduszy UE) do przedmiotu badania. Model VESPA (w najnowszej wersji VESPA3) jest wielosektorowym,</w:t>
      </w:r>
      <w:r w:rsidRPr="005C3719">
        <w:rPr>
          <w:rFonts w:ascii="Arial" w:hAnsi="Arial" w:cs="Arial"/>
          <w:b/>
        </w:rPr>
        <w:t xml:space="preserve"> </w:t>
      </w:r>
      <w:r w:rsidRPr="005C3719">
        <w:rPr>
          <w:rFonts w:ascii="Arial" w:hAnsi="Arial" w:cs="Arial"/>
        </w:rPr>
        <w:t>multiregionalnym, strukturalnym modelem makroekonomicznym opartym o</w:t>
      </w:r>
      <w:r w:rsidR="00544500" w:rsidRPr="005C3719">
        <w:rPr>
          <w:rFonts w:ascii="Arial" w:hAnsi="Arial" w:cs="Arial"/>
        </w:rPr>
        <w:t> </w:t>
      </w:r>
      <w:r w:rsidRPr="005C3719">
        <w:rPr>
          <w:rFonts w:ascii="Arial" w:hAnsi="Arial" w:cs="Arial"/>
        </w:rPr>
        <w:t xml:space="preserve">metodologię dynamicznej stochastycznej równowagi ogólnej (model klasy DSGE ang. </w:t>
      </w:r>
      <w:r w:rsidRPr="005C3719">
        <w:rPr>
          <w:rFonts w:ascii="Arial" w:hAnsi="Arial" w:cs="Arial"/>
          <w:i/>
          <w:iCs/>
        </w:rPr>
        <w:t>dynamic stochastic general equilibrium</w:t>
      </w:r>
      <w:r w:rsidRPr="005C3719">
        <w:rPr>
          <w:rFonts w:ascii="Arial" w:hAnsi="Arial" w:cs="Arial"/>
        </w:rPr>
        <w:t>). Model VESPA3 jest kontynuacją modeli VESPA i VESPA2 w przeszłości stosowanych przez fundację WiseEuropa w badaniach ewaluacyjnych, dotyczących Programów Operacyjnych perspektywy 2007</w:t>
      </w:r>
      <w:r w:rsidR="00700AE4" w:rsidRPr="005C3719">
        <w:rPr>
          <w:rFonts w:ascii="Arial" w:hAnsi="Arial" w:cs="Arial"/>
        </w:rPr>
        <w:t>-</w:t>
      </w:r>
      <w:r w:rsidRPr="005C3719">
        <w:rPr>
          <w:rFonts w:ascii="Arial" w:hAnsi="Arial" w:cs="Arial"/>
        </w:rPr>
        <w:t>2013 oraz 2013-2020, prowadzonych m.in. na zlecenie Ministerstwa Infrastruktury i Rozwoju oraz PARP (2016</w:t>
      </w:r>
      <w:r w:rsidR="00700AE4" w:rsidRPr="005C3719">
        <w:rPr>
          <w:rFonts w:ascii="Arial" w:hAnsi="Arial" w:cs="Arial"/>
        </w:rPr>
        <w:t>-</w:t>
      </w:r>
      <w:r w:rsidRPr="005C3719">
        <w:rPr>
          <w:rFonts w:ascii="Arial" w:hAnsi="Arial" w:cs="Arial"/>
        </w:rPr>
        <w:t>2018, 2019-2022).</w:t>
      </w:r>
    </w:p>
    <w:p w14:paraId="0A5BE7FF" w14:textId="11F7BCD3" w:rsidR="007933AF" w:rsidRPr="005C3719" w:rsidRDefault="007933AF" w:rsidP="00917386">
      <w:pPr>
        <w:spacing w:after="120" w:line="276" w:lineRule="auto"/>
        <w:jc w:val="left"/>
        <w:rPr>
          <w:rFonts w:ascii="Arial" w:hAnsi="Arial" w:cs="Arial"/>
        </w:rPr>
      </w:pPr>
      <w:r w:rsidRPr="005C3719">
        <w:rPr>
          <w:rFonts w:ascii="Arial" w:hAnsi="Arial" w:cs="Arial"/>
        </w:rPr>
        <w:t xml:space="preserve">Inspiracją przy konstrukcji modeli nakierowanych na analizę polityki publicznej należących do klasy DSGE lub pokrewnej klasy CGE (obliczalnej równowagi ogólnej – ang. </w:t>
      </w:r>
      <w:r w:rsidRPr="005C3719">
        <w:rPr>
          <w:rFonts w:ascii="Arial" w:hAnsi="Arial" w:cs="Arial"/>
          <w:i/>
          <w:iCs/>
        </w:rPr>
        <w:t>computable general equlibrium</w:t>
      </w:r>
      <w:r w:rsidRPr="005C3719">
        <w:rPr>
          <w:rFonts w:ascii="Arial" w:hAnsi="Arial" w:cs="Arial"/>
        </w:rPr>
        <w:t>), w tym modeli stosowanych w praktyce działania instytucji międzynarodowych (</w:t>
      </w:r>
      <w:r w:rsidR="00B05441" w:rsidRPr="005C3719">
        <w:rPr>
          <w:rFonts w:ascii="Arial" w:hAnsi="Arial" w:cs="Arial"/>
        </w:rPr>
        <w:t>m</w:t>
      </w:r>
      <w:r w:rsidR="00C1349E" w:rsidRPr="005C3719">
        <w:rPr>
          <w:rFonts w:ascii="Arial" w:hAnsi="Arial" w:cs="Arial"/>
        </w:rPr>
        <w:t>.in.</w:t>
      </w:r>
      <w:r w:rsidRPr="005C3719">
        <w:rPr>
          <w:rFonts w:ascii="Arial" w:hAnsi="Arial" w:cs="Arial"/>
        </w:rPr>
        <w:t xml:space="preserve"> OECD, Banku Światowego i Komisji Europejskiej). Modelami CGE</w:t>
      </w:r>
      <w:r w:rsidR="00FB71ED">
        <w:rPr>
          <w:rFonts w:ascii="Arial" w:hAnsi="Arial" w:cs="Arial"/>
        </w:rPr>
        <w:t xml:space="preserve">, </w:t>
      </w:r>
      <w:r w:rsidRPr="005C3719">
        <w:rPr>
          <w:rFonts w:ascii="Arial" w:hAnsi="Arial" w:cs="Arial"/>
        </w:rPr>
        <w:t>m.in. model GREEN autorstwa OECD</w:t>
      </w:r>
      <w:r w:rsidRPr="005C3719">
        <w:rPr>
          <w:rFonts w:ascii="Arial" w:hAnsi="Arial" w:cs="Arial"/>
          <w:vertAlign w:val="superscript"/>
        </w:rPr>
        <w:footnoteReference w:id="2"/>
      </w:r>
      <w:r w:rsidRPr="005C3719">
        <w:rPr>
          <w:rFonts w:ascii="Arial" w:hAnsi="Arial" w:cs="Arial"/>
        </w:rPr>
        <w:t>, model EPPA</w:t>
      </w:r>
      <w:r w:rsidRPr="005C3719">
        <w:rPr>
          <w:rFonts w:ascii="Arial" w:hAnsi="Arial" w:cs="Arial"/>
          <w:vertAlign w:val="superscript"/>
        </w:rPr>
        <w:footnoteReference w:id="3"/>
      </w:r>
      <w:r w:rsidRPr="005C3719">
        <w:rPr>
          <w:rFonts w:ascii="Arial" w:hAnsi="Arial" w:cs="Arial"/>
        </w:rPr>
        <w:t>, model EDGE</w:t>
      </w:r>
      <w:r w:rsidRPr="005C3719">
        <w:rPr>
          <w:rFonts w:ascii="Arial" w:hAnsi="Arial" w:cs="Arial"/>
          <w:vertAlign w:val="superscript"/>
        </w:rPr>
        <w:footnoteReference w:id="4"/>
      </w:r>
      <w:r w:rsidRPr="005C3719">
        <w:rPr>
          <w:rFonts w:ascii="Arial" w:hAnsi="Arial" w:cs="Arial"/>
          <w:vertAlign w:val="superscript"/>
        </w:rPr>
        <w:t>,</w:t>
      </w:r>
      <w:r w:rsidRPr="005C3719">
        <w:rPr>
          <w:rFonts w:ascii="Arial" w:hAnsi="Arial" w:cs="Arial"/>
        </w:rPr>
        <w:t xml:space="preserve"> model WIAGEM</w:t>
      </w:r>
      <w:r w:rsidRPr="005C3719">
        <w:rPr>
          <w:rFonts w:ascii="Arial" w:hAnsi="Arial" w:cs="Arial"/>
          <w:vertAlign w:val="superscript"/>
        </w:rPr>
        <w:footnoteReference w:id="5"/>
      </w:r>
      <w:r w:rsidRPr="005C3719">
        <w:rPr>
          <w:rFonts w:ascii="Arial" w:hAnsi="Arial" w:cs="Arial"/>
        </w:rPr>
        <w:t>, model PACE</w:t>
      </w:r>
      <w:r w:rsidRPr="005C3719">
        <w:rPr>
          <w:rFonts w:ascii="Arial" w:hAnsi="Arial" w:cs="Arial"/>
          <w:vertAlign w:val="superscript"/>
        </w:rPr>
        <w:footnoteReference w:id="6"/>
      </w:r>
      <w:r w:rsidRPr="005C3719">
        <w:rPr>
          <w:rFonts w:ascii="Arial" w:hAnsi="Arial" w:cs="Arial"/>
        </w:rPr>
        <w:t>, model DART</w:t>
      </w:r>
      <w:r w:rsidRPr="005C3719">
        <w:rPr>
          <w:rFonts w:ascii="Arial" w:hAnsi="Arial" w:cs="Arial"/>
          <w:vertAlign w:val="superscript"/>
        </w:rPr>
        <w:footnoteReference w:id="7"/>
      </w:r>
      <w:r w:rsidRPr="005C3719">
        <w:rPr>
          <w:rFonts w:ascii="Arial" w:hAnsi="Arial" w:cs="Arial"/>
          <w:vertAlign w:val="superscript"/>
        </w:rPr>
        <w:t xml:space="preserve"> </w:t>
      </w:r>
      <w:r w:rsidRPr="005C3719">
        <w:rPr>
          <w:rFonts w:ascii="Arial" w:hAnsi="Arial" w:cs="Arial"/>
        </w:rPr>
        <w:t>czy model PRIMES stosowany przez Komisję Europejską do ewaluacji polityki klimatycznej. Modelami DSGE z kolei są liczne modele stosowane w Bankach Centralnych do celów polityki pieniężnej (w tym model Smetsa i Woutersa</w:t>
      </w:r>
      <w:r w:rsidRPr="005C3719">
        <w:rPr>
          <w:rFonts w:ascii="Arial" w:hAnsi="Arial" w:cs="Arial"/>
          <w:vertAlign w:val="superscript"/>
        </w:rPr>
        <w:footnoteReference w:id="8"/>
      </w:r>
      <w:r w:rsidRPr="005C3719">
        <w:rPr>
          <w:rFonts w:ascii="Arial" w:hAnsi="Arial" w:cs="Arial"/>
          <w:vertAlign w:val="superscript"/>
        </w:rPr>
        <w:t xml:space="preserve"> </w:t>
      </w:r>
      <w:r w:rsidRPr="005C3719">
        <w:rPr>
          <w:rFonts w:ascii="Arial" w:hAnsi="Arial" w:cs="Arial"/>
        </w:rPr>
        <w:t>leżący u podstawy większości z nich), a także model QUEST stosowany przez Komisję Eur</w:t>
      </w:r>
      <w:r w:rsidR="00544500" w:rsidRPr="005C3719">
        <w:rPr>
          <w:rFonts w:ascii="Arial" w:hAnsi="Arial" w:cs="Arial"/>
        </w:rPr>
        <w:t>opej</w:t>
      </w:r>
      <w:r w:rsidRPr="005C3719">
        <w:rPr>
          <w:rFonts w:ascii="Arial" w:hAnsi="Arial" w:cs="Arial"/>
        </w:rPr>
        <w:t>ską m.in.</w:t>
      </w:r>
      <w:r w:rsidR="00544500" w:rsidRPr="005C3719">
        <w:rPr>
          <w:rFonts w:ascii="Arial" w:hAnsi="Arial" w:cs="Arial"/>
        </w:rPr>
        <w:t> </w:t>
      </w:r>
      <w:r w:rsidRPr="005C3719">
        <w:rPr>
          <w:rFonts w:ascii="Arial" w:hAnsi="Arial" w:cs="Arial"/>
        </w:rPr>
        <w:t>do</w:t>
      </w:r>
      <w:r w:rsidR="00404E5F">
        <w:rPr>
          <w:rFonts w:ascii="Arial" w:hAnsi="Arial" w:cs="Arial"/>
        </w:rPr>
        <w:t> </w:t>
      </w:r>
      <w:r w:rsidRPr="005C3719">
        <w:rPr>
          <w:rFonts w:ascii="Arial" w:hAnsi="Arial" w:cs="Arial"/>
        </w:rPr>
        <w:t>celów ewaluacji polityki spójności UE.</w:t>
      </w:r>
    </w:p>
    <w:p w14:paraId="25A1552E" w14:textId="31BC23F7" w:rsidR="007933AF" w:rsidRPr="005C3719" w:rsidRDefault="007933AF" w:rsidP="00917386">
      <w:pPr>
        <w:spacing w:after="120" w:line="276" w:lineRule="auto"/>
        <w:jc w:val="left"/>
        <w:rPr>
          <w:rFonts w:ascii="Arial" w:hAnsi="Arial" w:cs="Arial"/>
        </w:rPr>
      </w:pPr>
      <w:r w:rsidRPr="005C3719">
        <w:rPr>
          <w:rFonts w:ascii="Arial" w:hAnsi="Arial" w:cs="Arial"/>
        </w:rPr>
        <w:t>Główna zaleta modeli równowagi ogólnej – z punktu widzenia badań stosowanych – leży w ich powiązaniu z rzeczywistą gospodarką, w tym w reprezentacji jej wewnętrznej struktury i śledzeniu interakcji</w:t>
      </w:r>
      <w:r w:rsidR="00C1349E" w:rsidRPr="005C3719">
        <w:rPr>
          <w:rFonts w:ascii="Arial" w:hAnsi="Arial" w:cs="Arial"/>
        </w:rPr>
        <w:t>,</w:t>
      </w:r>
      <w:r w:rsidRPr="005C3719">
        <w:rPr>
          <w:rFonts w:ascii="Arial" w:hAnsi="Arial" w:cs="Arial"/>
        </w:rPr>
        <w:t xml:space="preserve"> jakie zachodzą między poszczególnymi rynkami czy sektorami. W wypadku modeli CGE oraz dużej skali modeli DSGE wzajemne oddziaływanie podmiotów z różnych sektorów opisuje się za</w:t>
      </w:r>
      <w:r w:rsidR="00544500" w:rsidRPr="005C3719">
        <w:rPr>
          <w:rFonts w:ascii="Arial" w:hAnsi="Arial" w:cs="Arial"/>
        </w:rPr>
        <w:t> </w:t>
      </w:r>
      <w:r w:rsidRPr="005C3719">
        <w:rPr>
          <w:rFonts w:ascii="Arial" w:hAnsi="Arial" w:cs="Arial"/>
        </w:rPr>
        <w:t>pomocą macierzy przepływów międzygałęziowych lub, będącej jej rozwinięciem, macierzy rachunkowości społecznej (</w:t>
      </w:r>
      <w:r w:rsidRPr="005C3719">
        <w:rPr>
          <w:rFonts w:ascii="Arial" w:hAnsi="Arial" w:cs="Arial"/>
          <w:i/>
          <w:iCs/>
        </w:rPr>
        <w:t xml:space="preserve">Social Accounting Matrix – </w:t>
      </w:r>
      <w:r w:rsidRPr="005C3719">
        <w:rPr>
          <w:rFonts w:ascii="Arial" w:hAnsi="Arial" w:cs="Arial"/>
        </w:rPr>
        <w:t xml:space="preserve">SAM), w których przepływy międzygałęziowe obejmują nie tylko produkcyjny, ale i konsumpcyjny segment gospodarki (tzn. gospodarstwa domowe, rząd). Jednocześnie modele te są oparte na mikropodstawach, a więc zachowanie podmiotów gospodarujących, określone jest w nich poprzez zestaw równań (warunków pierwszego rzędu), wynikający z procedur optymalizacyjnych (maksymalizacja użyteczności, maksymalizacja przepływów pieniężnych, itp.), a parametry strukturalne modeli estymowane są lub kalibrowane na podstawie danych. W ten sposób metodologia równowagi ogólnej stara się ograniczać liczbę parametrów </w:t>
      </w:r>
      <w:r w:rsidRPr="005C3719">
        <w:rPr>
          <w:rFonts w:ascii="Arial" w:hAnsi="Arial" w:cs="Arial"/>
        </w:rPr>
        <w:lastRenderedPageBreak/>
        <w:t>arbitralnych, niewynikających wprost z mierzalnych zmiennych ekonomicznych, których wartości trzeba wyznaczać w bardziej złożony i pośredni sposób. Strona podażowa modeli CGE i DSGE, w</w:t>
      </w:r>
      <w:r w:rsidR="00544500" w:rsidRPr="005C3719">
        <w:rPr>
          <w:rFonts w:ascii="Arial" w:hAnsi="Arial" w:cs="Arial"/>
        </w:rPr>
        <w:t> </w:t>
      </w:r>
      <w:r w:rsidRPr="005C3719">
        <w:rPr>
          <w:rFonts w:ascii="Arial" w:hAnsi="Arial" w:cs="Arial"/>
        </w:rPr>
        <w:t>szczególności funkcja produkcji, jest przedstawiana w postaci zagnieżdżonej struktury umożliwiającej analizę substytucji czynników produkcji (pracy, kapitału, dóbr pośrednich, energii itp.) w sposób odmienny w różnych gałęziach gospodarki. W modelach DCGE nowej generacji podmioty gospodarujące działają także w środowisku dynamicznym (w odróżnieniu do starszych, statycznych modeli CGE), biorąc pod uwagę nie tylko okres bieżący, ale i przyszłość</w:t>
      </w:r>
      <w:r w:rsidR="00C1349E" w:rsidRPr="005C3719">
        <w:rPr>
          <w:rFonts w:ascii="Arial" w:hAnsi="Arial" w:cs="Arial"/>
        </w:rPr>
        <w:t>.</w:t>
      </w:r>
    </w:p>
    <w:p w14:paraId="3BE806F5" w14:textId="271922D4" w:rsidR="007933AF" w:rsidRPr="005C3719" w:rsidRDefault="007933AF" w:rsidP="00917386">
      <w:pPr>
        <w:spacing w:after="120" w:line="276" w:lineRule="auto"/>
        <w:jc w:val="left"/>
        <w:rPr>
          <w:rFonts w:ascii="Arial" w:hAnsi="Arial" w:cs="Arial"/>
        </w:rPr>
      </w:pPr>
      <w:r w:rsidRPr="005C3719">
        <w:rPr>
          <w:rFonts w:ascii="Arial" w:hAnsi="Arial" w:cs="Arial"/>
        </w:rPr>
        <w:t>Podstawowa różnica między modelami CGE i DSGE dotyczy właśnie metody uwzględniania przyszłości. W modelach CGE jest ona znana w sposób doskonały (</w:t>
      </w:r>
      <w:r w:rsidRPr="005C3719">
        <w:rPr>
          <w:rFonts w:ascii="Arial" w:hAnsi="Arial" w:cs="Arial"/>
          <w:i/>
          <w:iCs/>
        </w:rPr>
        <w:t>perfect foresight</w:t>
      </w:r>
      <w:r w:rsidRPr="005C3719">
        <w:rPr>
          <w:rFonts w:ascii="Arial" w:hAnsi="Arial" w:cs="Arial"/>
        </w:rPr>
        <w:t>), co oznacza, że</w:t>
      </w:r>
      <w:r w:rsidR="00404E5F">
        <w:rPr>
          <w:rFonts w:ascii="Arial" w:hAnsi="Arial" w:cs="Arial"/>
        </w:rPr>
        <w:t> </w:t>
      </w:r>
      <w:r w:rsidRPr="005C3719">
        <w:rPr>
          <w:rFonts w:ascii="Arial" w:hAnsi="Arial" w:cs="Arial"/>
        </w:rPr>
        <w:t>firmy oraz gospodarstwa domowe znają przebieg przyszłych zdarzeń w gospodarce w sposób doskonały. Podejście to ma swoje uzasadnienie o tyle, o ile w skali makroekonomicznej gospodarka na</w:t>
      </w:r>
      <w:r w:rsidR="00404E5F">
        <w:rPr>
          <w:rFonts w:ascii="Arial" w:hAnsi="Arial" w:cs="Arial"/>
        </w:rPr>
        <w:t> </w:t>
      </w:r>
      <w:r w:rsidRPr="005C3719">
        <w:rPr>
          <w:rFonts w:ascii="Arial" w:hAnsi="Arial" w:cs="Arial"/>
        </w:rPr>
        <w:t>ogół zachowuje się stabilnie w długim okresie (tj. w skali dziesięcioleci), w sposób możliwy do</w:t>
      </w:r>
      <w:r w:rsidR="00404E5F">
        <w:rPr>
          <w:rFonts w:ascii="Arial" w:hAnsi="Arial" w:cs="Arial"/>
        </w:rPr>
        <w:t> </w:t>
      </w:r>
      <w:r w:rsidRPr="005C3719">
        <w:rPr>
          <w:rFonts w:ascii="Arial" w:hAnsi="Arial" w:cs="Arial"/>
        </w:rPr>
        <w:t>wyznaczenia ex</w:t>
      </w:r>
      <w:r w:rsidRPr="005C3719">
        <w:rPr>
          <w:rFonts w:ascii="Arial" w:hAnsi="Arial" w:cs="Arial"/>
        </w:rPr>
        <w:noBreakHyphen/>
        <w:t>ante. Ogranicza to jednak możliwości analizy polityki publicznej do długiego okresu, utrudniając na ogół lub uniemożliwiając dokładne wyodrębnienie w modelu bezpośrednich, pośrednich i</w:t>
      </w:r>
      <w:r w:rsidR="00544500" w:rsidRPr="005C3719">
        <w:rPr>
          <w:rFonts w:ascii="Arial" w:hAnsi="Arial" w:cs="Arial"/>
        </w:rPr>
        <w:t> </w:t>
      </w:r>
      <w:r w:rsidRPr="005C3719">
        <w:rPr>
          <w:rFonts w:ascii="Arial" w:hAnsi="Arial" w:cs="Arial"/>
        </w:rPr>
        <w:t>indukowanych efektów interwencji, dla których duże znaczenie ma okres krótki i średni (tj.</w:t>
      </w:r>
      <w:r w:rsidR="00544500" w:rsidRPr="005C3719">
        <w:rPr>
          <w:rFonts w:ascii="Arial" w:hAnsi="Arial" w:cs="Arial"/>
        </w:rPr>
        <w:t> </w:t>
      </w:r>
      <w:r w:rsidRPr="005C3719">
        <w:rPr>
          <w:rFonts w:ascii="Arial" w:hAnsi="Arial" w:cs="Arial"/>
        </w:rPr>
        <w:t>obejmujący kilka lat po wprowadzeniu danej interwencji). Dlatego w ostatnim czasie modele CGE w analizie polityk publicznych są zastępowane lub uzupełniane modelami DSGE dużej skali, a więc modelami typu DSGE wyposażonymi dodatkowo w macierz przepływów międzygałęziowych i strukturę wielosektorową, analogiczną do tej stosowanej w modelach CGE. Modele DSGE są w pełni dynamiczne, co oznacza, że podmioty gospodarujące uwzględniają przyszłe konsekwencje swoich decyzji i</w:t>
      </w:r>
      <w:r w:rsidR="00544500" w:rsidRPr="005C3719">
        <w:rPr>
          <w:rFonts w:ascii="Arial" w:hAnsi="Arial" w:cs="Arial"/>
        </w:rPr>
        <w:t> </w:t>
      </w:r>
      <w:r w:rsidRPr="005C3719">
        <w:rPr>
          <w:rFonts w:ascii="Arial" w:hAnsi="Arial" w:cs="Arial"/>
        </w:rPr>
        <w:t>niepewnych (losowych) zaburzeń makroekonomicznych w decyzjach podejmowanych w danej chwili. Inwestycje i</w:t>
      </w:r>
      <w:r w:rsidR="00404E5F">
        <w:rPr>
          <w:rFonts w:ascii="Arial" w:hAnsi="Arial" w:cs="Arial"/>
        </w:rPr>
        <w:t> </w:t>
      </w:r>
      <w:r w:rsidRPr="005C3719">
        <w:rPr>
          <w:rFonts w:ascii="Arial" w:hAnsi="Arial" w:cs="Arial"/>
        </w:rPr>
        <w:t>oszczędności są wzajemnie ze sobą powiązane, a także endogennie zależne od</w:t>
      </w:r>
      <w:r w:rsidR="00544500" w:rsidRPr="005C3719">
        <w:rPr>
          <w:rFonts w:ascii="Arial" w:hAnsi="Arial" w:cs="Arial"/>
        </w:rPr>
        <w:t> </w:t>
      </w:r>
      <w:r w:rsidRPr="005C3719">
        <w:rPr>
          <w:rFonts w:ascii="Arial" w:hAnsi="Arial" w:cs="Arial"/>
        </w:rPr>
        <w:t>przewidywanego, przyszłego zachowania się gospodarki, w tym od polityki publicznej, a więc np.</w:t>
      </w:r>
      <w:r w:rsidR="00544500" w:rsidRPr="005C3719">
        <w:rPr>
          <w:rFonts w:ascii="Arial" w:hAnsi="Arial" w:cs="Arial"/>
        </w:rPr>
        <w:t> </w:t>
      </w:r>
      <w:r w:rsidRPr="005C3719">
        <w:rPr>
          <w:rFonts w:ascii="Arial" w:hAnsi="Arial" w:cs="Arial"/>
        </w:rPr>
        <w:t>subsydiów do</w:t>
      </w:r>
      <w:r w:rsidR="00404E5F">
        <w:rPr>
          <w:rFonts w:ascii="Arial" w:hAnsi="Arial" w:cs="Arial"/>
        </w:rPr>
        <w:t> </w:t>
      </w:r>
      <w:r w:rsidRPr="005C3719">
        <w:rPr>
          <w:rFonts w:ascii="Arial" w:hAnsi="Arial" w:cs="Arial"/>
        </w:rPr>
        <w:t>działalności B+R, podatków i ulg podatkowych, inwestycji publicznych, wsparcia kapitałowego czy doradczego udzielanego przedsiębiorstwom. Bezpośrednio uwzględniają one także stochastyczny charakter gospodarki (np. losowość procesu pojawiania się nowych idei w gospodarce) i niedoskonałe przewidywania co do przyszłego kształtu polityki gospodarczej.</w:t>
      </w:r>
    </w:p>
    <w:p w14:paraId="6A4FBF7A" w14:textId="011037AD" w:rsidR="007933AF" w:rsidRPr="005C3719" w:rsidRDefault="007933AF" w:rsidP="00917386">
      <w:pPr>
        <w:spacing w:after="120" w:line="276" w:lineRule="auto"/>
        <w:jc w:val="left"/>
        <w:rPr>
          <w:rFonts w:ascii="Arial" w:hAnsi="Arial" w:cs="Arial"/>
        </w:rPr>
      </w:pPr>
      <w:r w:rsidRPr="005C3719">
        <w:rPr>
          <w:rFonts w:ascii="Arial" w:hAnsi="Arial" w:cs="Arial"/>
        </w:rPr>
        <w:t>Tego rodzaju modelem jest model VESPA3, który został zbudowany w oparciu o syntezę wiedzy z</w:t>
      </w:r>
      <w:r w:rsidR="00544500" w:rsidRPr="005C3719">
        <w:rPr>
          <w:rFonts w:ascii="Arial" w:hAnsi="Arial" w:cs="Arial"/>
        </w:rPr>
        <w:t> </w:t>
      </w:r>
      <w:r w:rsidRPr="005C3719">
        <w:rPr>
          <w:rFonts w:ascii="Arial" w:hAnsi="Arial" w:cs="Arial"/>
        </w:rPr>
        <w:t>szerokiego spektrum teorii ekonomicznych w tym:</w:t>
      </w:r>
    </w:p>
    <w:p w14:paraId="1071A3A9" w14:textId="66349E05" w:rsidR="007933AF" w:rsidRPr="005C3719" w:rsidRDefault="007933AF" w:rsidP="00917386">
      <w:pPr>
        <w:pStyle w:val="Akapitzlist"/>
        <w:numPr>
          <w:ilvl w:val="0"/>
          <w:numId w:val="3"/>
        </w:numPr>
        <w:spacing w:after="120" w:line="276" w:lineRule="auto"/>
        <w:contextualSpacing w:val="0"/>
        <w:jc w:val="left"/>
        <w:rPr>
          <w:rFonts w:ascii="Arial" w:hAnsi="Arial" w:cs="Arial"/>
        </w:rPr>
      </w:pPr>
      <w:r w:rsidRPr="005C3719">
        <w:rPr>
          <w:rFonts w:ascii="Arial" w:hAnsi="Arial" w:cs="Arial"/>
          <w:b/>
        </w:rPr>
        <w:t>teorii wzrostu gospodarczego</w:t>
      </w:r>
      <w:r w:rsidRPr="005C3719">
        <w:rPr>
          <w:rFonts w:ascii="Arial" w:hAnsi="Arial" w:cs="Arial"/>
        </w:rPr>
        <w:t xml:space="preserve"> – w odniesieniu do założeń związanych z średnio- i</w:t>
      </w:r>
      <w:r w:rsidR="00544500" w:rsidRPr="005C3719">
        <w:rPr>
          <w:rFonts w:ascii="Arial" w:hAnsi="Arial" w:cs="Arial"/>
        </w:rPr>
        <w:t> </w:t>
      </w:r>
      <w:r w:rsidRPr="005C3719">
        <w:rPr>
          <w:rFonts w:ascii="Arial" w:hAnsi="Arial" w:cs="Arial"/>
        </w:rPr>
        <w:t>długookresową trajektorią wzrostu gospodarek na szczeblu krajowym i regionalnym,</w:t>
      </w:r>
    </w:p>
    <w:p w14:paraId="72A032EE" w14:textId="0B9F0C2C" w:rsidR="007933AF" w:rsidRPr="005C3719" w:rsidRDefault="007933AF" w:rsidP="00917386">
      <w:pPr>
        <w:pStyle w:val="Akapitzlist"/>
        <w:numPr>
          <w:ilvl w:val="0"/>
          <w:numId w:val="3"/>
        </w:numPr>
        <w:spacing w:after="120" w:line="276" w:lineRule="auto"/>
        <w:contextualSpacing w:val="0"/>
        <w:jc w:val="left"/>
        <w:rPr>
          <w:rFonts w:ascii="Arial" w:hAnsi="Arial" w:cs="Arial"/>
        </w:rPr>
      </w:pPr>
      <w:r w:rsidRPr="005C3719">
        <w:rPr>
          <w:rFonts w:ascii="Arial" w:hAnsi="Arial" w:cs="Arial"/>
          <w:b/>
        </w:rPr>
        <w:t>teorii realnego cyklu koniunkturalnego</w:t>
      </w:r>
      <w:r w:rsidRPr="005C3719">
        <w:rPr>
          <w:rFonts w:ascii="Arial" w:hAnsi="Arial" w:cs="Arial"/>
        </w:rPr>
        <w:t xml:space="preserve"> – w odniesieniu do założeń związanych z</w:t>
      </w:r>
      <w:r w:rsidR="00544500" w:rsidRPr="005C3719">
        <w:rPr>
          <w:rFonts w:ascii="Arial" w:hAnsi="Arial" w:cs="Arial"/>
        </w:rPr>
        <w:t> </w:t>
      </w:r>
      <w:r w:rsidRPr="005C3719">
        <w:rPr>
          <w:rFonts w:ascii="Arial" w:hAnsi="Arial" w:cs="Arial"/>
        </w:rPr>
        <w:t>krótkookresowymi fluktuacjami gospodarki i wahaniami produktu i rynku pracy (ściśle wiążąc w tym aspekcie mikro-podstawy z agregatami makroekonomicznymi),</w:t>
      </w:r>
    </w:p>
    <w:p w14:paraId="06CEB892" w14:textId="77777777" w:rsidR="007933AF" w:rsidRPr="005C3719" w:rsidRDefault="007933AF" w:rsidP="00917386">
      <w:pPr>
        <w:pStyle w:val="Akapitzlist"/>
        <w:numPr>
          <w:ilvl w:val="0"/>
          <w:numId w:val="3"/>
        </w:numPr>
        <w:spacing w:after="120" w:line="276" w:lineRule="auto"/>
        <w:contextualSpacing w:val="0"/>
        <w:jc w:val="left"/>
        <w:rPr>
          <w:rFonts w:ascii="Arial" w:hAnsi="Arial" w:cs="Arial"/>
        </w:rPr>
      </w:pPr>
      <w:r w:rsidRPr="005C3719">
        <w:rPr>
          <w:rFonts w:ascii="Arial" w:hAnsi="Arial" w:cs="Arial"/>
          <w:b/>
        </w:rPr>
        <w:t>ekonomii pracy</w:t>
      </w:r>
      <w:r w:rsidRPr="005C3719">
        <w:rPr>
          <w:rFonts w:ascii="Arial" w:hAnsi="Arial" w:cs="Arial"/>
        </w:rPr>
        <w:t xml:space="preserve"> – w odniesieniu do sposobu funkcjonowania rynku pracy i transmisji cen względnych na inne sektory gospodarki,</w:t>
      </w:r>
    </w:p>
    <w:p w14:paraId="438B5FED" w14:textId="77777777" w:rsidR="007933AF" w:rsidRPr="005C3719" w:rsidRDefault="007933AF" w:rsidP="00917386">
      <w:pPr>
        <w:pStyle w:val="Akapitzlist"/>
        <w:numPr>
          <w:ilvl w:val="0"/>
          <w:numId w:val="3"/>
        </w:numPr>
        <w:spacing w:after="120" w:line="276" w:lineRule="auto"/>
        <w:contextualSpacing w:val="0"/>
        <w:jc w:val="left"/>
        <w:rPr>
          <w:rFonts w:ascii="Arial" w:hAnsi="Arial" w:cs="Arial"/>
        </w:rPr>
      </w:pPr>
      <w:r w:rsidRPr="005C3719">
        <w:rPr>
          <w:rFonts w:ascii="Arial" w:hAnsi="Arial" w:cs="Arial"/>
          <w:b/>
        </w:rPr>
        <w:t>teorii finansów i rynków finansowych</w:t>
      </w:r>
      <w:r w:rsidRPr="005C3719">
        <w:rPr>
          <w:rFonts w:ascii="Arial" w:hAnsi="Arial" w:cs="Arial"/>
        </w:rPr>
        <w:t xml:space="preserve"> – w odniesieniu do przepływów kapitałowych między krajem a zagranicą,</w:t>
      </w:r>
    </w:p>
    <w:p w14:paraId="54EBEB5A" w14:textId="77777777" w:rsidR="007933AF" w:rsidRPr="005C3719" w:rsidRDefault="007933AF" w:rsidP="00917386">
      <w:pPr>
        <w:pStyle w:val="Akapitzlist"/>
        <w:numPr>
          <w:ilvl w:val="0"/>
          <w:numId w:val="3"/>
        </w:numPr>
        <w:spacing w:after="120" w:line="276" w:lineRule="auto"/>
        <w:contextualSpacing w:val="0"/>
        <w:jc w:val="left"/>
        <w:rPr>
          <w:rFonts w:ascii="Arial" w:hAnsi="Arial" w:cs="Arial"/>
        </w:rPr>
      </w:pPr>
      <w:r w:rsidRPr="005C3719">
        <w:rPr>
          <w:rFonts w:ascii="Arial" w:hAnsi="Arial" w:cs="Arial"/>
          <w:b/>
        </w:rPr>
        <w:t>teorii handlu międzynarodowego i gospodarki otwartej</w:t>
      </w:r>
      <w:r w:rsidRPr="005C3719">
        <w:rPr>
          <w:rFonts w:ascii="Arial" w:hAnsi="Arial" w:cs="Arial"/>
        </w:rPr>
        <w:t xml:space="preserve"> – w odniesieniu do przepływów dóbr i usług między krajem a zagranicą,</w:t>
      </w:r>
    </w:p>
    <w:p w14:paraId="79B0B6E1" w14:textId="128C0C33" w:rsidR="007933AF" w:rsidRPr="005C3719" w:rsidRDefault="007933AF" w:rsidP="00917386">
      <w:pPr>
        <w:pStyle w:val="Akapitzlist"/>
        <w:numPr>
          <w:ilvl w:val="0"/>
          <w:numId w:val="3"/>
        </w:numPr>
        <w:spacing w:after="120" w:line="276" w:lineRule="auto"/>
        <w:contextualSpacing w:val="0"/>
        <w:jc w:val="left"/>
        <w:rPr>
          <w:rFonts w:ascii="Arial" w:hAnsi="Arial" w:cs="Arial"/>
        </w:rPr>
      </w:pPr>
      <w:r w:rsidRPr="005C3719">
        <w:rPr>
          <w:rFonts w:ascii="Arial" w:hAnsi="Arial" w:cs="Arial"/>
          <w:b/>
        </w:rPr>
        <w:t>ekonomii monetarn</w:t>
      </w:r>
      <w:r w:rsidR="00601246">
        <w:rPr>
          <w:rFonts w:ascii="Arial" w:hAnsi="Arial" w:cs="Arial"/>
          <w:b/>
        </w:rPr>
        <w:t>ej</w:t>
      </w:r>
      <w:r w:rsidRPr="005C3719">
        <w:rPr>
          <w:rFonts w:ascii="Arial" w:hAnsi="Arial" w:cs="Arial"/>
          <w:b/>
        </w:rPr>
        <w:t xml:space="preserve"> i teorii pieniądza –</w:t>
      </w:r>
      <w:r w:rsidRPr="005C3719">
        <w:rPr>
          <w:rFonts w:ascii="Arial" w:hAnsi="Arial" w:cs="Arial"/>
        </w:rPr>
        <w:t xml:space="preserve"> w odniesieniu do związków między zmiennymi realnymi a nominalnymi (w szczególności w odniesieniu do przebiegu transmisji monetarnej w gospodarce),</w:t>
      </w:r>
    </w:p>
    <w:p w14:paraId="0B64D81E" w14:textId="05DF9742" w:rsidR="007933AF" w:rsidRPr="005C3719" w:rsidRDefault="007933AF" w:rsidP="00917386">
      <w:pPr>
        <w:pStyle w:val="Akapitzlist"/>
        <w:numPr>
          <w:ilvl w:val="0"/>
          <w:numId w:val="3"/>
        </w:numPr>
        <w:spacing w:after="120" w:line="276" w:lineRule="auto"/>
        <w:contextualSpacing w:val="0"/>
        <w:jc w:val="left"/>
        <w:rPr>
          <w:rFonts w:ascii="Arial" w:hAnsi="Arial" w:cs="Arial"/>
        </w:rPr>
      </w:pPr>
      <w:r w:rsidRPr="005C3719">
        <w:rPr>
          <w:rFonts w:ascii="Arial" w:hAnsi="Arial" w:cs="Arial"/>
          <w:b/>
        </w:rPr>
        <w:t xml:space="preserve">nowej </w:t>
      </w:r>
      <w:r w:rsidR="00BD5A55">
        <w:rPr>
          <w:rFonts w:ascii="Arial" w:hAnsi="Arial" w:cs="Arial"/>
          <w:b/>
        </w:rPr>
        <w:t xml:space="preserve">ekonomii </w:t>
      </w:r>
      <w:r w:rsidRPr="005C3719">
        <w:rPr>
          <w:rFonts w:ascii="Arial" w:hAnsi="Arial" w:cs="Arial"/>
          <w:b/>
        </w:rPr>
        <w:t>Keynesowsk</w:t>
      </w:r>
      <w:r w:rsidR="00601246">
        <w:rPr>
          <w:rFonts w:ascii="Arial" w:hAnsi="Arial" w:cs="Arial"/>
          <w:b/>
        </w:rPr>
        <w:t>iej</w:t>
      </w:r>
      <w:r w:rsidRPr="005C3719">
        <w:rPr>
          <w:rFonts w:ascii="Arial" w:hAnsi="Arial" w:cs="Arial"/>
          <w:b/>
        </w:rPr>
        <w:t xml:space="preserve"> </w:t>
      </w:r>
      <w:r w:rsidRPr="005C3719">
        <w:rPr>
          <w:rFonts w:ascii="Arial" w:hAnsi="Arial" w:cs="Arial"/>
        </w:rPr>
        <w:t>– w odniesieniu do tempa dostosowywania się cen i płac do zmieniających się warunków gospodarczych,</w:t>
      </w:r>
    </w:p>
    <w:p w14:paraId="0BBC72EE" w14:textId="6DBA7E37" w:rsidR="007933AF" w:rsidRPr="005C3719" w:rsidRDefault="007933AF" w:rsidP="00917386">
      <w:pPr>
        <w:pStyle w:val="Akapitzlist"/>
        <w:numPr>
          <w:ilvl w:val="0"/>
          <w:numId w:val="3"/>
        </w:numPr>
        <w:spacing w:after="120" w:line="276" w:lineRule="auto"/>
        <w:contextualSpacing w:val="0"/>
        <w:jc w:val="left"/>
        <w:rPr>
          <w:rFonts w:ascii="Arial" w:hAnsi="Arial" w:cs="Arial"/>
        </w:rPr>
      </w:pPr>
      <w:r w:rsidRPr="005C3719">
        <w:rPr>
          <w:rFonts w:ascii="Arial" w:hAnsi="Arial" w:cs="Arial"/>
          <w:b/>
        </w:rPr>
        <w:t>ekonomii sektora publicznego oraz teori</w:t>
      </w:r>
      <w:r w:rsidR="00A15AA9">
        <w:rPr>
          <w:rFonts w:ascii="Arial" w:hAnsi="Arial" w:cs="Arial"/>
          <w:b/>
        </w:rPr>
        <w:t>i</w:t>
      </w:r>
      <w:r w:rsidRPr="005C3719">
        <w:rPr>
          <w:rFonts w:ascii="Arial" w:hAnsi="Arial" w:cs="Arial"/>
          <w:b/>
        </w:rPr>
        <w:t xml:space="preserve"> wydatków publicznych i opodatkowania</w:t>
      </w:r>
      <w:r w:rsidRPr="005C3719">
        <w:rPr>
          <w:rFonts w:ascii="Arial" w:hAnsi="Arial" w:cs="Arial"/>
        </w:rPr>
        <w:t xml:space="preserve"> – w</w:t>
      </w:r>
      <w:r w:rsidR="00544500" w:rsidRPr="005C3719">
        <w:rPr>
          <w:rFonts w:ascii="Arial" w:hAnsi="Arial" w:cs="Arial"/>
        </w:rPr>
        <w:t> </w:t>
      </w:r>
      <w:r w:rsidRPr="005C3719">
        <w:rPr>
          <w:rFonts w:ascii="Arial" w:hAnsi="Arial" w:cs="Arial"/>
        </w:rPr>
        <w:t>odniesieniu do sposobu kształtowania się interwencji publicznej (ze szczególnym uwzględnieniem funduszy UE) i jej oddziaływania na firmy i gospodarstwa domowe.</w:t>
      </w:r>
    </w:p>
    <w:p w14:paraId="0E935528" w14:textId="7EEE46F1" w:rsidR="007933AF" w:rsidRPr="005C3719" w:rsidRDefault="007933AF" w:rsidP="00917386">
      <w:pPr>
        <w:spacing w:after="120" w:line="276" w:lineRule="auto"/>
        <w:jc w:val="left"/>
        <w:rPr>
          <w:rFonts w:ascii="Arial" w:hAnsi="Arial" w:cs="Arial"/>
        </w:rPr>
      </w:pPr>
      <w:r w:rsidRPr="005C3719">
        <w:rPr>
          <w:rFonts w:ascii="Arial" w:hAnsi="Arial" w:cs="Arial"/>
        </w:rPr>
        <w:lastRenderedPageBreak/>
        <w:t>Model VESPA3 jest więc jednocześnie modelem wzrostu i cyklu gospodarczego opierającym się z</w:t>
      </w:r>
      <w:r w:rsidR="00785460">
        <w:rPr>
          <w:rFonts w:ascii="Arial" w:hAnsi="Arial" w:cs="Arial"/>
        </w:rPr>
        <w:t> </w:t>
      </w:r>
      <w:r w:rsidRPr="005C3719">
        <w:rPr>
          <w:rFonts w:ascii="Arial" w:hAnsi="Arial" w:cs="Arial"/>
        </w:rPr>
        <w:t>jednej strony na teorii stworzonej przez czołowego amerykańskiego teoretyka wzrostu prof. Charlesa I.</w:t>
      </w:r>
      <w:r w:rsidR="00544500" w:rsidRPr="005C3719">
        <w:rPr>
          <w:rFonts w:ascii="Arial" w:hAnsi="Arial" w:cs="Arial"/>
        </w:rPr>
        <w:t> </w:t>
      </w:r>
      <w:r w:rsidRPr="005C3719">
        <w:rPr>
          <w:rFonts w:ascii="Arial" w:hAnsi="Arial" w:cs="Arial"/>
        </w:rPr>
        <w:t>Jones’a (1999, 2005) oraz dorobku modelowania DSGE wywodzącego się z modelu Kydlanda i</w:t>
      </w:r>
      <w:r w:rsidR="00544500" w:rsidRPr="005C3719">
        <w:rPr>
          <w:rFonts w:ascii="Arial" w:hAnsi="Arial" w:cs="Arial"/>
        </w:rPr>
        <w:t> </w:t>
      </w:r>
      <w:r w:rsidRPr="005C3719">
        <w:rPr>
          <w:rFonts w:ascii="Arial" w:hAnsi="Arial" w:cs="Arial"/>
        </w:rPr>
        <w:t xml:space="preserve">Prescotta (1982), stosowanej m.in. przez Komisję Europejską do oceny polityki spójności (grupa modeli QUEST). Podobnie jak modele grupy QUEST (por. np. Burgert, Werner, Varga, 't Veld, Vogeljest (2020)) model VESPA3 jest modelem </w:t>
      </w:r>
      <w:r w:rsidR="00C1349E" w:rsidRPr="005C3719">
        <w:rPr>
          <w:rFonts w:ascii="Arial" w:hAnsi="Arial" w:cs="Arial"/>
        </w:rPr>
        <w:t>n</w:t>
      </w:r>
      <w:r w:rsidRPr="005C3719">
        <w:rPr>
          <w:rFonts w:ascii="Arial" w:hAnsi="Arial" w:cs="Arial"/>
        </w:rPr>
        <w:t>eokeynesowskim co oznacza, że uwzględnia szereg niedoskonałości realnej gospodarki (frykcje na rynku pracy, frykcje finansowe, sztywności cen i płac itp.) umożliwiając ocenę wpływu polityk gospodarczych na gospodarkę zarówno w krótkim jak i</w:t>
      </w:r>
      <w:r w:rsidR="00544500" w:rsidRPr="005C3719">
        <w:rPr>
          <w:rFonts w:ascii="Arial" w:hAnsi="Arial" w:cs="Arial"/>
        </w:rPr>
        <w:t> </w:t>
      </w:r>
      <w:r w:rsidRPr="005C3719">
        <w:rPr>
          <w:rFonts w:ascii="Arial" w:hAnsi="Arial" w:cs="Arial"/>
        </w:rPr>
        <w:t>średnim i</w:t>
      </w:r>
      <w:r w:rsidR="00EF4149">
        <w:rPr>
          <w:rFonts w:ascii="Arial" w:hAnsi="Arial" w:cs="Arial"/>
        </w:rPr>
        <w:t> </w:t>
      </w:r>
      <w:r w:rsidRPr="005C3719">
        <w:rPr>
          <w:rFonts w:ascii="Arial" w:hAnsi="Arial" w:cs="Arial"/>
        </w:rPr>
        <w:t>długim okresie. Podobnie jak modele QUEST (por. Varga, Roeger, ’t Veld 2021) jest to model wielosektorowy uwzględniający rolę jaką w niej pełni sektor publiczny oraz m.in. sektor energetyczny.</w:t>
      </w:r>
    </w:p>
    <w:p w14:paraId="5A0E8142" w14:textId="7EE89D2B" w:rsidR="007933AF" w:rsidRPr="005C3719" w:rsidRDefault="007933AF" w:rsidP="00917386">
      <w:pPr>
        <w:spacing w:after="120" w:line="276" w:lineRule="auto"/>
        <w:jc w:val="left"/>
        <w:rPr>
          <w:rFonts w:ascii="Arial" w:hAnsi="Arial" w:cs="Arial"/>
          <w:sz w:val="18"/>
          <w:szCs w:val="18"/>
        </w:rPr>
      </w:pPr>
      <w:r w:rsidRPr="005C3719">
        <w:rPr>
          <w:rFonts w:ascii="Arial" w:hAnsi="Arial" w:cs="Arial"/>
        </w:rPr>
        <w:t xml:space="preserve">W kluczowej z punktu widzenia polityk wdrażanych w ramach polityki spójności warstwie wzrostu gospodarczego model zakłada, że jest on w średnim okresie wzmacniany przez zwiększoną akumulację czynników produkcji (kapitału fizycznego i ludzkiego), która może być stymulowana przez wydatkowanie funduszy publicznych (w tym polityki spójności) oraz zmiany w </w:t>
      </w:r>
      <w:r w:rsidRPr="005C3719">
        <w:rPr>
          <w:rFonts w:ascii="Arial" w:hAnsi="Arial" w:cs="Arial"/>
          <w:i/>
          <w:iCs/>
        </w:rPr>
        <w:t>terms-of-trade</w:t>
      </w:r>
      <w:r w:rsidRPr="005C3719">
        <w:rPr>
          <w:rFonts w:ascii="Arial" w:hAnsi="Arial" w:cs="Arial"/>
        </w:rPr>
        <w:t xml:space="preserve"> w</w:t>
      </w:r>
      <w:r w:rsidR="00544500" w:rsidRPr="005C3719">
        <w:rPr>
          <w:rFonts w:ascii="Arial" w:hAnsi="Arial" w:cs="Arial"/>
        </w:rPr>
        <w:t> </w:t>
      </w:r>
      <w:r w:rsidRPr="005C3719">
        <w:rPr>
          <w:rFonts w:ascii="Arial" w:hAnsi="Arial" w:cs="Arial"/>
        </w:rPr>
        <w:t>wymianie z zagranicą (na co wpływa wydatkowanie funduszy UE w kraju). Z kolei w długim okresie wzrost zależy od</w:t>
      </w:r>
      <w:r w:rsidR="00EF4149">
        <w:rPr>
          <w:rFonts w:ascii="Arial" w:hAnsi="Arial" w:cs="Arial"/>
        </w:rPr>
        <w:t> </w:t>
      </w:r>
      <w:r w:rsidRPr="005C3719">
        <w:rPr>
          <w:rFonts w:ascii="Arial" w:hAnsi="Arial" w:cs="Arial"/>
        </w:rPr>
        <w:t>pojawiania się w gospodarce nowych pomysłów biznesowych (idei), kreowanych przez poszczególnych przedsiębiorców i firmy oraz sektor publiczny w oparciu o ponoszone nakłady na naukę oraz badania i rozwój (B+R). Między badaniami prywatnymi i publicznymi zachodzi w modelu komplementarność, a idee mają częściowo publiczny charakter (efekty rozlewania). W konsekwencji na wzrost gospodarczy wpływ mają także procesy imitacyjne służące naśladowaniu rozwiązań (idei) powstałych ponadlokalnie oraz fundusze wspierające zarówno kreację nowych idei jak i ich adaptację z</w:t>
      </w:r>
      <w:r w:rsidR="00EF4149">
        <w:rPr>
          <w:rFonts w:ascii="Arial" w:hAnsi="Arial" w:cs="Arial"/>
        </w:rPr>
        <w:t> </w:t>
      </w:r>
      <w:r w:rsidRPr="005C3719">
        <w:rPr>
          <w:rFonts w:ascii="Arial" w:hAnsi="Arial" w:cs="Arial"/>
        </w:rPr>
        <w:t>zewnątrz (w tym funduszy wydatkowanych w ramach polityki spójności na te cele). Imitacja jest zarazem procesem wymagającym własnego wysiłku organizacyjnego i tym samym ponoszenia nakładów inwestycyjnych, nakładów na B+R oraz wzrostu firm. W modelu VESPA3 innowacji i imitacji dokonują przedsiębiorstwa, co wpływa na ich możliwości pozyskiwania kapitału zewnętrznego na cele inwestycyjne i produkcyjne oraz zdolność do własnego działania innowacyjnego i imitacyjnego (</w:t>
      </w:r>
      <w:r w:rsidRPr="005C3719">
        <w:rPr>
          <w:rFonts w:ascii="Arial" w:hAnsi="Arial" w:cs="Arial"/>
          <w:i/>
          <w:iCs/>
        </w:rPr>
        <w:t>capital embeded technological change</w:t>
      </w:r>
      <w:r w:rsidRPr="005C3719">
        <w:rPr>
          <w:rFonts w:ascii="Arial" w:hAnsi="Arial" w:cs="Arial"/>
        </w:rPr>
        <w:t>). Model zakłada, że firmy mogą korzystać ze wsparcia publicznego (finansowanego z funduszy krajowych lub funduszy UE) ułatwiającego imitację i innowacje, w tym innowacje produktowe (zwiększające różnorodność produktów dostępnych na rynku np. w wyniku poprawy wzornictwa) oraz procesowe (podnoszące wydajność procesu produkcyjnego m.in. poprzez redukcję kosztów jednostkowych wytwarzania).</w:t>
      </w:r>
    </w:p>
    <w:p w14:paraId="322A7868" w14:textId="009F72E7" w:rsidR="007933AF" w:rsidRPr="00917386" w:rsidRDefault="007933AF" w:rsidP="00917386">
      <w:pPr>
        <w:pStyle w:val="Styl1"/>
        <w:jc w:val="left"/>
        <w:rPr>
          <w:rFonts w:asciiTheme="minorHAnsi" w:hAnsiTheme="minorHAnsi" w:cstheme="minorHAnsi"/>
          <w:color w:val="3C3C3C"/>
        </w:rPr>
      </w:pPr>
      <w:bookmarkStart w:id="9" w:name="_Toc176241612"/>
      <w:r w:rsidRPr="00917386">
        <w:rPr>
          <w:rFonts w:asciiTheme="minorHAnsi" w:hAnsiTheme="minorHAnsi" w:cstheme="minorHAnsi"/>
          <w:color w:val="3C3C3C"/>
        </w:rPr>
        <w:t xml:space="preserve">Struktura </w:t>
      </w:r>
      <w:r w:rsidR="00DB2468" w:rsidRPr="00917386">
        <w:rPr>
          <w:rFonts w:asciiTheme="minorHAnsi" w:hAnsiTheme="minorHAnsi" w:cstheme="minorHAnsi"/>
          <w:color w:val="3C3C3C"/>
        </w:rPr>
        <w:t>modelu</w:t>
      </w:r>
      <w:bookmarkEnd w:id="9"/>
    </w:p>
    <w:p w14:paraId="7C630D23" w14:textId="7E6267AB" w:rsidR="007933AF" w:rsidRPr="005C3719" w:rsidRDefault="007933AF" w:rsidP="00917386">
      <w:pPr>
        <w:spacing w:after="120" w:line="276" w:lineRule="auto"/>
        <w:jc w:val="left"/>
        <w:rPr>
          <w:rFonts w:ascii="Arial" w:hAnsi="Arial" w:cs="Arial"/>
        </w:rPr>
      </w:pPr>
      <w:r w:rsidRPr="005C3719">
        <w:rPr>
          <w:rFonts w:ascii="Arial" w:hAnsi="Arial" w:cs="Arial"/>
        </w:rPr>
        <w:t>Struktura blokowa modelu VESPA3 odpowiada powiązaniom gospodarczym zidentyfikowanym przez teorię ekonomii i odzwierciedlonym w bazach Eurostatu, GUS i OECD (rachunki narodowe, macierze input-output, rynek pracy). Model zakłada obecność strony podażowej i popytowej w gospodarce, które w modelach klasy DSGE równoważą się (model równowagi ogólnej). W ujęciu najbardziej syntetycznym, strona podażowa definiuje potencjał produkcyjny gospodarki i jego determinanty (tj.</w:t>
      </w:r>
      <w:r w:rsidR="00544500" w:rsidRPr="005C3719">
        <w:rPr>
          <w:rFonts w:ascii="Arial" w:hAnsi="Arial" w:cs="Arial"/>
        </w:rPr>
        <w:t> </w:t>
      </w:r>
      <w:r w:rsidRPr="005C3719">
        <w:rPr>
          <w:rFonts w:ascii="Arial" w:hAnsi="Arial" w:cs="Arial"/>
        </w:rPr>
        <w:t>akumulację kapitału fizycznego i ludzkiego, akumulację infrastruktury, akumulację technologii dzięki innowacjom, wykorzystanie zasobów pracy, bezpośrednie inwestycje zagraniczne itd.), zaś strona popytowa identyfikuje zapotrzebowanie zgłaszane przez sektor prywatny (konsumpcja i</w:t>
      </w:r>
      <w:r w:rsidR="00544500" w:rsidRPr="005C3719">
        <w:rPr>
          <w:rFonts w:ascii="Arial" w:hAnsi="Arial" w:cs="Arial"/>
        </w:rPr>
        <w:t> </w:t>
      </w:r>
      <w:r w:rsidRPr="005C3719">
        <w:rPr>
          <w:rFonts w:ascii="Arial" w:hAnsi="Arial" w:cs="Arial"/>
        </w:rPr>
        <w:t>inwestycje prywatne), publiczny (konsumpcja i inwestycje publiczne) oraz zagranicę (eksport i import, BIZ). W</w:t>
      </w:r>
      <w:r w:rsidR="00544500" w:rsidRPr="005C3719">
        <w:rPr>
          <w:rFonts w:ascii="Arial" w:hAnsi="Arial" w:cs="Arial"/>
        </w:rPr>
        <w:t> </w:t>
      </w:r>
      <w:r w:rsidRPr="005C3719">
        <w:rPr>
          <w:rFonts w:ascii="Arial" w:hAnsi="Arial" w:cs="Arial"/>
        </w:rPr>
        <w:t>przypadku strony popytowej model uwzględnia więc odpowiednie równania behawioralne dotyczące prywatnej konsumpcji, inwestycji prywatnych, jak również eksportu i importu na poziomie ogólnokrajowym oraz odpowiednie równania dla wydatków państwa. Łącznie, obie strony spotykają się na rynkach dóbr, kapitału i pracy</w:t>
      </w:r>
      <w:r w:rsidR="00601246">
        <w:rPr>
          <w:rFonts w:ascii="Arial" w:hAnsi="Arial" w:cs="Arial"/>
        </w:rPr>
        <w:t xml:space="preserve">, </w:t>
      </w:r>
      <w:r w:rsidRPr="005C3719">
        <w:rPr>
          <w:rFonts w:ascii="Arial" w:hAnsi="Arial" w:cs="Arial"/>
        </w:rPr>
        <w:t>co umożliwia wyznaczenie odpowiednich cen względnych i</w:t>
      </w:r>
      <w:r w:rsidR="00544500" w:rsidRPr="005C3719">
        <w:rPr>
          <w:rFonts w:ascii="Arial" w:hAnsi="Arial" w:cs="Arial"/>
        </w:rPr>
        <w:t> </w:t>
      </w:r>
      <w:r w:rsidRPr="005C3719">
        <w:rPr>
          <w:rFonts w:ascii="Arial" w:hAnsi="Arial" w:cs="Arial"/>
        </w:rPr>
        <w:t xml:space="preserve">wytworzenie się tzw. równowagi ogólnej. Równowaga ta zależy od dyskrecjonalnej interwencji publicznej np. w formie zmieniającej się wysokości i struktury wydatków publicznych i podatków. Częścią tej interwencji są działania podejmowane w ramach polityki spójności UE i innych funduszy </w:t>
      </w:r>
      <w:r w:rsidRPr="005C3719">
        <w:rPr>
          <w:rFonts w:ascii="Arial" w:hAnsi="Arial" w:cs="Arial"/>
        </w:rPr>
        <w:lastRenderedPageBreak/>
        <w:t>finansowanych przez Unię Europejską wydatkowane m.in. na budowę infrastruktury, wsparcie akumulacji kapitału ludzkiego, poprawę innowacyjności i konkurencyjności firm, poprawę efektywności energetycznej czy promocję eksportu.</w:t>
      </w:r>
    </w:p>
    <w:p w14:paraId="7EFBE2EF" w14:textId="7D0DCB3B" w:rsidR="007933AF" w:rsidRPr="00785460" w:rsidRDefault="00A375CF" w:rsidP="00F15187">
      <w:pPr>
        <w:pStyle w:val="Legenda"/>
      </w:pPr>
      <w:bookmarkStart w:id="10" w:name="_Toc173834351"/>
      <w:r w:rsidRPr="00785460">
        <w:t xml:space="preserve">Schemat </w:t>
      </w:r>
      <w:fldSimple w:instr=" SEQ Schemat \* ARABIC ">
        <w:r w:rsidR="009962A2">
          <w:rPr>
            <w:noProof/>
          </w:rPr>
          <w:t>1</w:t>
        </w:r>
      </w:fldSimple>
      <w:r w:rsidRPr="00785460">
        <w:t xml:space="preserve">. </w:t>
      </w:r>
      <w:r w:rsidR="007933AF" w:rsidRPr="00785460">
        <w:t>Struktura modelu WISE VESPA</w:t>
      </w:r>
      <w:r w:rsidR="00DB2468" w:rsidRPr="00785460">
        <w:t>3</w:t>
      </w:r>
      <w:bookmarkEnd w:id="10"/>
    </w:p>
    <w:p w14:paraId="203DE855" w14:textId="77777777" w:rsidR="007933AF" w:rsidRPr="00FB399B" w:rsidRDefault="007933AF" w:rsidP="00917386">
      <w:pPr>
        <w:jc w:val="left"/>
        <w:rPr>
          <w:rFonts w:cstheme="minorHAnsi"/>
          <w:color w:val="FF0000"/>
        </w:rPr>
      </w:pPr>
      <w:r w:rsidRPr="00FB399B">
        <w:rPr>
          <w:rFonts w:cstheme="minorHAnsi"/>
          <w:noProof/>
          <w:lang w:eastAsia="pl-PL"/>
        </w:rPr>
        <w:drawing>
          <wp:inline distT="0" distB="0" distL="0" distR="0" wp14:anchorId="5F63ED12" wp14:editId="66BE8235">
            <wp:extent cx="4980740" cy="3181350"/>
            <wp:effectExtent l="0" t="0" r="0" b="0"/>
            <wp:docPr id="1847303644" name="Obraz 1847303644" descr="Schemat 1. Struktura modelu WISE VESP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7303644" name="Obraz 1847303644" descr="Schemat 1. Struktura modelu WISE VESPA3"/>
                    <pic:cNvPicPr/>
                  </pic:nvPicPr>
                  <pic:blipFill>
                    <a:blip r:embed="rId24"/>
                    <a:stretch>
                      <a:fillRect/>
                    </a:stretch>
                  </pic:blipFill>
                  <pic:spPr>
                    <a:xfrm>
                      <a:off x="0" y="0"/>
                      <a:ext cx="4993891" cy="3189750"/>
                    </a:xfrm>
                    <a:prstGeom prst="rect">
                      <a:avLst/>
                    </a:prstGeom>
                  </pic:spPr>
                </pic:pic>
              </a:graphicData>
            </a:graphic>
          </wp:inline>
        </w:drawing>
      </w:r>
    </w:p>
    <w:p w14:paraId="0206C1F3" w14:textId="44009044" w:rsidR="007933AF" w:rsidRPr="00785460" w:rsidRDefault="007933AF" w:rsidP="00917386">
      <w:pPr>
        <w:pStyle w:val="zrodlo"/>
        <w:spacing w:after="240" w:line="276" w:lineRule="auto"/>
        <w:jc w:val="left"/>
        <w:rPr>
          <w:rFonts w:ascii="Arial" w:hAnsi="Arial" w:cs="Arial"/>
          <w:sz w:val="20"/>
        </w:rPr>
      </w:pPr>
      <w:r w:rsidRPr="00785460">
        <w:rPr>
          <w:rFonts w:ascii="Arial" w:hAnsi="Arial" w:cs="Arial"/>
          <w:sz w:val="20"/>
        </w:rPr>
        <w:t>Źródło: Opracowanie własne.</w:t>
      </w:r>
    </w:p>
    <w:p w14:paraId="3BE85A44" w14:textId="1E69A4E7" w:rsidR="00C1349E" w:rsidRPr="005C3719" w:rsidRDefault="007933AF" w:rsidP="00917386">
      <w:pPr>
        <w:spacing w:after="120" w:line="276" w:lineRule="auto"/>
        <w:jc w:val="left"/>
        <w:rPr>
          <w:rFonts w:ascii="Arial" w:hAnsi="Arial" w:cs="Arial"/>
        </w:rPr>
      </w:pPr>
      <w:r w:rsidRPr="005C3719">
        <w:rPr>
          <w:rFonts w:ascii="Arial" w:hAnsi="Arial" w:cs="Arial"/>
        </w:rPr>
        <w:t xml:space="preserve">Model uwzględnia strukturę transferów otrzymywanych z UE oraz wpłacanych do budżetu (w podziale na infrastrukturę podstawową, bezpośrednie wsparcie przedsiębiorstw i kapitał ludzki), co umożliwia analizę zjawiska kosztu alternatywnego (najlepszego dostępnego wykorzystania tych samych środków krajowych/europejskich). Procesy optymalizacyjne następują w oparciu o decyzje podejmowane przez przedsiębiorstwa i gospodarstwa domowe zakładając za dane: interwencję sektora publicznego (podatkowo-wydatkową), interwencję finansowaną ze środków UE oraz funkcjonowanie zagranicy, prowadząc do ustalenia się cen i ostatecznej postaci równowagi. </w:t>
      </w:r>
    </w:p>
    <w:p w14:paraId="10BB9586" w14:textId="55E7E4B8" w:rsidR="007933AF" w:rsidRPr="005C3719" w:rsidRDefault="007933AF" w:rsidP="00917386">
      <w:pPr>
        <w:spacing w:after="120" w:line="276" w:lineRule="auto"/>
        <w:jc w:val="left"/>
        <w:rPr>
          <w:rFonts w:ascii="Arial" w:hAnsi="Arial" w:cs="Arial"/>
        </w:rPr>
      </w:pPr>
      <w:r w:rsidRPr="005C3719">
        <w:rPr>
          <w:rFonts w:ascii="Arial" w:hAnsi="Arial" w:cs="Arial"/>
        </w:rPr>
        <w:t>Na podstawową strukturę blokową modelu VESPA3 składa się kilka powiązanych ze sobą modułów:</w:t>
      </w:r>
    </w:p>
    <w:p w14:paraId="0763E5DD" w14:textId="79146BCB" w:rsidR="007933AF" w:rsidRPr="005C3719" w:rsidRDefault="007933AF" w:rsidP="00917386">
      <w:pPr>
        <w:pStyle w:val="Akapitzlist"/>
        <w:numPr>
          <w:ilvl w:val="0"/>
          <w:numId w:val="4"/>
        </w:numPr>
        <w:spacing w:after="120" w:line="276" w:lineRule="auto"/>
        <w:ind w:left="709" w:hanging="425"/>
        <w:contextualSpacing w:val="0"/>
        <w:jc w:val="left"/>
        <w:rPr>
          <w:rFonts w:ascii="Arial" w:hAnsi="Arial" w:cs="Arial"/>
        </w:rPr>
      </w:pPr>
      <w:r w:rsidRPr="005C3719">
        <w:rPr>
          <w:rFonts w:ascii="Arial" w:hAnsi="Arial" w:cs="Arial"/>
          <w:b/>
        </w:rPr>
        <w:t>gospodarstwa domowe</w:t>
      </w:r>
      <w:r w:rsidRPr="005C3719">
        <w:rPr>
          <w:rFonts w:ascii="Arial" w:hAnsi="Arial" w:cs="Arial"/>
        </w:rPr>
        <w:t xml:space="preserve"> cechuje dwuczynnikowa funkcja użyteczności (konsumpcja i czas wolny), którą maksymalizują w dożywotnim horyzoncie, korzystając z oszczędności umożliwiających odłożenie konsumpcji w czasie. Gospodarstwa dzielą członków na trzy kategorie w zależności od</w:t>
      </w:r>
      <w:r w:rsidR="00404E5F">
        <w:rPr>
          <w:rFonts w:ascii="Arial" w:hAnsi="Arial" w:cs="Arial"/>
        </w:rPr>
        <w:t> </w:t>
      </w:r>
      <w:r w:rsidRPr="005C3719">
        <w:rPr>
          <w:rFonts w:ascii="Arial" w:hAnsi="Arial" w:cs="Arial"/>
        </w:rPr>
        <w:t>statusu na rynku pracy (pracujący, bezrobotni, bierni zawodowo), a</w:t>
      </w:r>
      <w:r w:rsidR="00AF36BC">
        <w:rPr>
          <w:rFonts w:ascii="Arial" w:hAnsi="Arial" w:cs="Arial"/>
        </w:rPr>
        <w:t> </w:t>
      </w:r>
      <w:r w:rsidRPr="005C3719">
        <w:rPr>
          <w:rFonts w:ascii="Arial" w:hAnsi="Arial" w:cs="Arial"/>
        </w:rPr>
        <w:t>konsumpcja jest sumą konsumpcji prywatnej i publicznej, z których publiczna w przybliżeniu odzwierciedla dobra publiczne. Gospodarstwa domowe maksymalizują zdyskontowaną oczekiwaną użyteczność z</w:t>
      </w:r>
      <w:r w:rsidR="00544500" w:rsidRPr="005C3719">
        <w:rPr>
          <w:rFonts w:ascii="Arial" w:hAnsi="Arial" w:cs="Arial"/>
        </w:rPr>
        <w:t> </w:t>
      </w:r>
      <w:r w:rsidRPr="005C3719">
        <w:rPr>
          <w:rFonts w:ascii="Arial" w:hAnsi="Arial" w:cs="Arial"/>
        </w:rPr>
        <w:t>konsumpcji i czasu wolnego, inwestując także w kapitał ludzki. Na tej podstawie ustalają podaż pracy (w ujęciu intensywnej i ekstensywnej), popyt konsumpcyjny, wielkości depozytów bankowych, popyt na pieniądz oraz wartość posiadanych obligacji rządowych (krajowych i</w:t>
      </w:r>
      <w:r w:rsidR="00544500" w:rsidRPr="005C3719">
        <w:rPr>
          <w:rFonts w:ascii="Arial" w:hAnsi="Arial" w:cs="Arial"/>
        </w:rPr>
        <w:t> </w:t>
      </w:r>
      <w:r w:rsidRPr="005C3719">
        <w:rPr>
          <w:rFonts w:ascii="Arial" w:hAnsi="Arial" w:cs="Arial"/>
        </w:rPr>
        <w:t>zagranicznych). Niewalrasowski rynek pracy pozwala gospodarstwom domowym i firmom negocjować płace i czas pracy (sektorowe i wg rozmiaru firm) oraz oddziałuje na intensywność poszukiwań wśród bezrobotnych. Konsumpcja i dochody uzyskane z pracy i kapitału pozostają opodatkowane, rząd dostarcza gospodarstwom transfery społeczne, a konsumpcja publiczna dostarcza im pozytywne efekty zewnętrzne.</w:t>
      </w:r>
    </w:p>
    <w:p w14:paraId="1E75FAE5" w14:textId="5B53A34B" w:rsidR="007933AF" w:rsidRPr="005C3719" w:rsidRDefault="007933AF" w:rsidP="00917386">
      <w:pPr>
        <w:pStyle w:val="Akapitzlist"/>
        <w:numPr>
          <w:ilvl w:val="0"/>
          <w:numId w:val="4"/>
        </w:numPr>
        <w:spacing w:after="120" w:line="276" w:lineRule="auto"/>
        <w:ind w:left="709" w:hanging="425"/>
        <w:contextualSpacing w:val="0"/>
        <w:jc w:val="left"/>
        <w:rPr>
          <w:rFonts w:ascii="Arial" w:hAnsi="Arial" w:cs="Arial"/>
        </w:rPr>
      </w:pPr>
      <w:r w:rsidRPr="005C3719">
        <w:rPr>
          <w:rFonts w:ascii="Arial" w:hAnsi="Arial" w:cs="Arial"/>
          <w:b/>
        </w:rPr>
        <w:t>firmy</w:t>
      </w:r>
      <w:r w:rsidRPr="005C3719">
        <w:rPr>
          <w:rFonts w:ascii="Arial" w:hAnsi="Arial" w:cs="Arial"/>
        </w:rPr>
        <w:t xml:space="preserve"> funkcjonują w modelowanych sektorach (por. wyżej), decydują o podaży i popycie na</w:t>
      </w:r>
      <w:r w:rsidR="00AF36BC">
        <w:rPr>
          <w:rFonts w:ascii="Arial" w:hAnsi="Arial" w:cs="Arial"/>
        </w:rPr>
        <w:t> </w:t>
      </w:r>
      <w:r w:rsidRPr="005C3719">
        <w:rPr>
          <w:rFonts w:ascii="Arial" w:hAnsi="Arial" w:cs="Arial"/>
        </w:rPr>
        <w:t xml:space="preserve">dobra pośrednie, poziomie zapasów, wielkości inwestycji i popycie na pracę. Problem optymalizacyjny firmy dotyczy maksymalizacji wartości oczekiwanej strumienia przyszłych </w:t>
      </w:r>
      <w:r w:rsidRPr="005C3719">
        <w:rPr>
          <w:rFonts w:ascii="Arial" w:hAnsi="Arial" w:cs="Arial"/>
        </w:rPr>
        <w:lastRenderedPageBreak/>
        <w:t>przepływów pieniężnych. Proces inwestycyjny ma charakter 5-etapowy, co wprowadza istotny udział frykcji realnych i</w:t>
      </w:r>
      <w:r w:rsidR="00404E5F">
        <w:rPr>
          <w:rFonts w:ascii="Arial" w:hAnsi="Arial" w:cs="Arial"/>
        </w:rPr>
        <w:t> </w:t>
      </w:r>
      <w:r w:rsidRPr="005C3719">
        <w:rPr>
          <w:rFonts w:ascii="Arial" w:hAnsi="Arial" w:cs="Arial"/>
        </w:rPr>
        <w:t xml:space="preserve">nominalnych do modelu (produkt podstawowy </w:t>
      </w:r>
      <w:r w:rsidRPr="005C3719">
        <w:rPr>
          <w:rFonts w:ascii="Wingdings" w:eastAsia="Wingdings" w:hAnsi="Wingdings" w:cs="Wingdings"/>
        </w:rPr>
        <w:t>à</w:t>
      </w:r>
      <w:r w:rsidRPr="005C3719">
        <w:rPr>
          <w:rFonts w:ascii="Arial" w:hAnsi="Arial" w:cs="Arial"/>
        </w:rPr>
        <w:t xml:space="preserve"> zróżnicowanie na bazie monopolistycznej działalności rozwojowej (szczególny sektor B+R zajmujący się kreowaniem nowych idei i</w:t>
      </w:r>
      <w:r w:rsidR="00404E5F">
        <w:rPr>
          <w:rFonts w:ascii="Arial" w:hAnsi="Arial" w:cs="Arial"/>
        </w:rPr>
        <w:t> </w:t>
      </w:r>
      <w:r w:rsidRPr="005C3719">
        <w:rPr>
          <w:rFonts w:ascii="Arial" w:hAnsi="Arial" w:cs="Arial"/>
        </w:rPr>
        <w:t xml:space="preserve">tworzeniem „lepszych” dóbr inwestycyjnych) </w:t>
      </w:r>
      <w:r w:rsidRPr="005C3719">
        <w:rPr>
          <w:rFonts w:ascii="Wingdings" w:eastAsia="Wingdings" w:hAnsi="Wingdings" w:cs="Wingdings"/>
        </w:rPr>
        <w:t>à</w:t>
      </w:r>
      <w:r w:rsidRPr="005C3719">
        <w:rPr>
          <w:rFonts w:ascii="Arial" w:hAnsi="Arial" w:cs="Arial"/>
        </w:rPr>
        <w:t xml:space="preserve"> agregacja w dobro sektorowe krajowe </w:t>
      </w:r>
      <w:r w:rsidRPr="005C3719">
        <w:rPr>
          <w:rFonts w:ascii="Wingdings" w:eastAsia="Wingdings" w:hAnsi="Wingdings" w:cs="Wingdings"/>
        </w:rPr>
        <w:t>à</w:t>
      </w:r>
      <w:r w:rsidRPr="005C3719">
        <w:rPr>
          <w:rFonts w:ascii="Arial" w:hAnsi="Arial" w:cs="Arial"/>
        </w:rPr>
        <w:t xml:space="preserve"> agregacja w dobro sektorowe </w:t>
      </w:r>
      <w:r w:rsidRPr="005C3719">
        <w:rPr>
          <w:rFonts w:ascii="Wingdings" w:eastAsia="Wingdings" w:hAnsi="Wingdings" w:cs="Wingdings"/>
        </w:rPr>
        <w:t>à</w:t>
      </w:r>
      <w:r w:rsidRPr="005C3719">
        <w:rPr>
          <w:rFonts w:ascii="Arial" w:hAnsi="Arial" w:cs="Arial"/>
        </w:rPr>
        <w:t xml:space="preserve"> zagregowane dobra finalne). Wielkość podaży dobra finalnego odzwierciedla tę konsumowaną przez gospodarstwa domowe i rząd w kraju, a</w:t>
      </w:r>
      <w:r w:rsidR="00AF36BC">
        <w:rPr>
          <w:rFonts w:ascii="Arial" w:hAnsi="Arial" w:cs="Arial"/>
        </w:rPr>
        <w:t> </w:t>
      </w:r>
      <w:r w:rsidRPr="005C3719">
        <w:rPr>
          <w:rFonts w:ascii="Arial" w:hAnsi="Arial" w:cs="Arial"/>
        </w:rPr>
        <w:t>także tę konsumowaną za granicą (eksport). Część kosztów działalności firm finansowana jest długiem (kredyty operacyjne oraz kredyty inwestycyjne). Model uwzględnia przy tym 4</w:t>
      </w:r>
      <w:r w:rsidR="00AF36BC">
        <w:rPr>
          <w:rFonts w:ascii="Arial" w:hAnsi="Arial" w:cs="Arial"/>
        </w:rPr>
        <w:t> </w:t>
      </w:r>
      <w:r w:rsidRPr="005C3719">
        <w:rPr>
          <w:rFonts w:ascii="Arial" w:hAnsi="Arial" w:cs="Arial"/>
        </w:rPr>
        <w:t xml:space="preserve">kategorie firm (klas wielkości przedsiębiorstw wg zatrudnienia tj. mikro (do </w:t>
      </w:r>
      <w:r w:rsidR="00A376D5">
        <w:rPr>
          <w:rFonts w:ascii="Arial" w:hAnsi="Arial" w:cs="Arial"/>
        </w:rPr>
        <w:t>10</w:t>
      </w:r>
      <w:r w:rsidR="00A376D5" w:rsidRPr="005C3719">
        <w:rPr>
          <w:rFonts w:ascii="Arial" w:hAnsi="Arial" w:cs="Arial"/>
        </w:rPr>
        <w:t xml:space="preserve"> </w:t>
      </w:r>
      <w:r w:rsidRPr="005C3719">
        <w:rPr>
          <w:rFonts w:ascii="Arial" w:hAnsi="Arial" w:cs="Arial"/>
        </w:rPr>
        <w:t>os.), małych (</w:t>
      </w:r>
      <w:r w:rsidR="00A376D5">
        <w:rPr>
          <w:rFonts w:ascii="Arial" w:hAnsi="Arial" w:cs="Arial"/>
        </w:rPr>
        <w:t>do 50 osób</w:t>
      </w:r>
      <w:r w:rsidRPr="005C3719">
        <w:rPr>
          <w:rFonts w:ascii="Arial" w:hAnsi="Arial" w:cs="Arial"/>
        </w:rPr>
        <w:t>), średnich (</w:t>
      </w:r>
      <w:r w:rsidR="00A376D5">
        <w:rPr>
          <w:rFonts w:ascii="Arial" w:hAnsi="Arial" w:cs="Arial"/>
        </w:rPr>
        <w:t>do 2050 osób</w:t>
      </w:r>
      <w:r w:rsidRPr="005C3719">
        <w:rPr>
          <w:rFonts w:ascii="Arial" w:hAnsi="Arial" w:cs="Arial"/>
        </w:rPr>
        <w:t xml:space="preserve">) oraz dużych (powyżej 250). Przedsiębiorstwa te różnią się dostępem do rynku kapitałowego (frykcje finansowe), produktywnością i zdolnością do innowacji, korzystają też ze wsparcia udzielanego przez rząd (subwencje do inwestycji i B+R). Ponadto, niezupełny rynek kapitałowy wpływa na podział zysku pomiędzy gospodarstwa domowe (dywidendy) oraz przyszłe inwestycje, a także na liczbę nowo utworzonych firm produkcyjnych i nowych idei (sektor badawczo-rozwojowy). Popyt na pracę znajduje ujście w otwieranych wakatach i stawkach płac, na które przystają zainteresowani członkowie gospodarstw domowych. Firmy prowadzą wymianę handlową z zagranicą. </w:t>
      </w:r>
    </w:p>
    <w:p w14:paraId="2F26F218" w14:textId="7D14B10D" w:rsidR="007933AF" w:rsidRPr="005C3719" w:rsidRDefault="007933AF" w:rsidP="00917386">
      <w:pPr>
        <w:pStyle w:val="Akapitzlist"/>
        <w:numPr>
          <w:ilvl w:val="0"/>
          <w:numId w:val="4"/>
        </w:numPr>
        <w:spacing w:after="120" w:line="276" w:lineRule="auto"/>
        <w:ind w:left="709" w:hanging="425"/>
        <w:contextualSpacing w:val="0"/>
        <w:jc w:val="left"/>
        <w:rPr>
          <w:rFonts w:ascii="Arial" w:hAnsi="Arial" w:cs="Arial"/>
        </w:rPr>
      </w:pPr>
      <w:r w:rsidRPr="005C3719">
        <w:rPr>
          <w:rFonts w:ascii="Arial" w:hAnsi="Arial" w:cs="Arial"/>
          <w:b/>
        </w:rPr>
        <w:t>rynek pracy</w:t>
      </w:r>
      <w:r w:rsidRPr="005C3719">
        <w:rPr>
          <w:rFonts w:ascii="Arial" w:hAnsi="Arial" w:cs="Arial"/>
        </w:rPr>
        <w:t xml:space="preserve"> odzwierciedla mechanizm poszukiwań i dopasowań, w którym pracodawcy otwierają wakaty, a bezrobotni poszukują zatrudnienia. Model zawiera więc równania rynku pracy opisujące popyt i podaż pracy na niedoskonałym rynku pracy. Wskutek niedoskonałego procesu pośrednictwa, zapełnionych wakatów jest mniej niż pracowników, na których pracodawcy zgłaszają popyt, i mniej niż wynikałoby to z podaży bezrobotnych. Stawki na rynku pracy, których przedmiotem jest oczekiwany godzinowy wymiar pracy oraz płaca w przyszłości, negocjowane są według schematu Nasha o silnym uwarunkowaniu indywidualnym (zarówno po</w:t>
      </w:r>
      <w:r w:rsidR="00AF36BC">
        <w:rPr>
          <w:rFonts w:ascii="Arial" w:hAnsi="Arial" w:cs="Arial"/>
        </w:rPr>
        <w:t> </w:t>
      </w:r>
      <w:r w:rsidRPr="005C3719">
        <w:rPr>
          <w:rFonts w:ascii="Arial" w:hAnsi="Arial" w:cs="Arial"/>
        </w:rPr>
        <w:t>stronie firm, jak i</w:t>
      </w:r>
      <w:r w:rsidR="00544500" w:rsidRPr="005C3719">
        <w:rPr>
          <w:rFonts w:ascii="Arial" w:hAnsi="Arial" w:cs="Arial"/>
        </w:rPr>
        <w:t> </w:t>
      </w:r>
      <w:r w:rsidRPr="005C3719">
        <w:rPr>
          <w:rFonts w:ascii="Arial" w:hAnsi="Arial" w:cs="Arial"/>
        </w:rPr>
        <w:t>gospodarstw domowych). Negocjacje uwzględniają wpływ nowych stawek i godzin pracy na</w:t>
      </w:r>
      <w:r w:rsidR="00544500" w:rsidRPr="005C3719">
        <w:rPr>
          <w:rFonts w:ascii="Arial" w:hAnsi="Arial" w:cs="Arial"/>
        </w:rPr>
        <w:t> </w:t>
      </w:r>
      <w:r w:rsidRPr="005C3719">
        <w:rPr>
          <w:rFonts w:ascii="Arial" w:hAnsi="Arial" w:cs="Arial"/>
        </w:rPr>
        <w:t>konsumpcję i czas wolny w gospodarstwach domowych, a przez to – na</w:t>
      </w:r>
      <w:r w:rsidR="00AF36BC">
        <w:rPr>
          <w:rFonts w:ascii="Arial" w:hAnsi="Arial" w:cs="Arial"/>
        </w:rPr>
        <w:t> </w:t>
      </w:r>
      <w:r w:rsidRPr="005C3719">
        <w:rPr>
          <w:rFonts w:ascii="Arial" w:hAnsi="Arial" w:cs="Arial"/>
        </w:rPr>
        <w:t>użyteczność pracowników i od</w:t>
      </w:r>
      <w:r w:rsidR="0005735B" w:rsidRPr="005C3719">
        <w:rPr>
          <w:rFonts w:ascii="Arial" w:hAnsi="Arial" w:cs="Arial"/>
        </w:rPr>
        <w:t>b</w:t>
      </w:r>
      <w:r w:rsidRPr="005C3719">
        <w:rPr>
          <w:rFonts w:ascii="Arial" w:hAnsi="Arial" w:cs="Arial"/>
        </w:rPr>
        <w:t>ywają si</w:t>
      </w:r>
      <w:r w:rsidR="0005735B" w:rsidRPr="005C3719">
        <w:rPr>
          <w:rFonts w:ascii="Arial" w:hAnsi="Arial" w:cs="Arial"/>
        </w:rPr>
        <w:t xml:space="preserve">ę </w:t>
      </w:r>
      <w:r w:rsidRPr="005C3719">
        <w:rPr>
          <w:rFonts w:ascii="Arial" w:hAnsi="Arial" w:cs="Arial"/>
        </w:rPr>
        <w:t xml:space="preserve">na poziomie </w:t>
      </w:r>
      <w:r w:rsidR="0005735B" w:rsidRPr="005C3719">
        <w:rPr>
          <w:rFonts w:ascii="Arial" w:hAnsi="Arial" w:cs="Arial"/>
        </w:rPr>
        <w:t>sektorów</w:t>
      </w:r>
      <w:r w:rsidRPr="005C3719">
        <w:rPr>
          <w:rFonts w:ascii="Arial" w:hAnsi="Arial" w:cs="Arial"/>
        </w:rPr>
        <w:t xml:space="preserve"> oraz firm (wg rozmiaru). Poprzez połączenie podaży i popytu na pracę w modelu wyznaczona jest jednoznacznie relacja między zatrudnieniem a wysokością płac, jak również wpływ na siłę roboczą - migracje, kwalifikacje pracowników oraz partycypację w rynku pracy (aktywność zawodową) a także bezrobocie.</w:t>
      </w:r>
    </w:p>
    <w:p w14:paraId="04224077" w14:textId="32AC5D85" w:rsidR="007933AF" w:rsidRPr="005C3719" w:rsidRDefault="007933AF" w:rsidP="00917386">
      <w:pPr>
        <w:pStyle w:val="Akapitzlist"/>
        <w:numPr>
          <w:ilvl w:val="0"/>
          <w:numId w:val="4"/>
        </w:numPr>
        <w:spacing w:after="120" w:line="276" w:lineRule="auto"/>
        <w:ind w:left="709" w:hanging="425"/>
        <w:contextualSpacing w:val="0"/>
        <w:jc w:val="left"/>
        <w:rPr>
          <w:rFonts w:ascii="Arial" w:hAnsi="Arial" w:cs="Arial"/>
        </w:rPr>
      </w:pPr>
      <w:r w:rsidRPr="005C3719">
        <w:rPr>
          <w:rFonts w:ascii="Arial" w:hAnsi="Arial" w:cs="Arial"/>
          <w:b/>
        </w:rPr>
        <w:t>sektor bankowy</w:t>
      </w:r>
      <w:r w:rsidRPr="005C3719">
        <w:rPr>
          <w:rFonts w:ascii="Arial" w:hAnsi="Arial" w:cs="Arial"/>
        </w:rPr>
        <w:t xml:space="preserve"> składa się z banku centralnego (emitenta pieniądza gotówkowego) oraz banków komercyjnych, które udzielają kredytów na działalność operacyjną i inwestycyjną, przy czym firmy biorące kredyt podlegają ograniczeniom płynności zależnym od ich rozmiaru i</w:t>
      </w:r>
      <w:r w:rsidR="00AF36BC">
        <w:rPr>
          <w:rFonts w:ascii="Arial" w:hAnsi="Arial" w:cs="Arial"/>
        </w:rPr>
        <w:t> </w:t>
      </w:r>
      <w:r w:rsidRPr="005C3719">
        <w:rPr>
          <w:rFonts w:ascii="Arial" w:hAnsi="Arial" w:cs="Arial"/>
        </w:rPr>
        <w:t>sektora. W</w:t>
      </w:r>
      <w:r w:rsidR="00544500" w:rsidRPr="005C3719">
        <w:rPr>
          <w:rFonts w:ascii="Arial" w:hAnsi="Arial" w:cs="Arial"/>
        </w:rPr>
        <w:t> </w:t>
      </w:r>
      <w:r w:rsidRPr="005C3719">
        <w:rPr>
          <w:rFonts w:ascii="Arial" w:hAnsi="Arial" w:cs="Arial"/>
        </w:rPr>
        <w:t>przypadku sektora bankowego, możliwa jest kreacja pieniądza. Polityka monetarna prowadzona jest poprzez operacje otwartego rynku i kreację pieniądza wielkiej mocy w toku egzogenicznie zadanej polityki monetarnej. Polityka monetarna w modelu zadana jest poprzez regułę Taylora, wyestymowaną ekonometrycznie (np. Sznajderska, 2012).</w:t>
      </w:r>
    </w:p>
    <w:p w14:paraId="310FBC1F" w14:textId="41D74FA0" w:rsidR="007933AF" w:rsidRPr="005C3719" w:rsidRDefault="00083312" w:rsidP="00917386">
      <w:pPr>
        <w:pStyle w:val="Akapitzlist"/>
        <w:numPr>
          <w:ilvl w:val="0"/>
          <w:numId w:val="4"/>
        </w:numPr>
        <w:spacing w:after="120" w:line="276" w:lineRule="auto"/>
        <w:ind w:left="709" w:hanging="425"/>
        <w:contextualSpacing w:val="0"/>
        <w:jc w:val="left"/>
        <w:rPr>
          <w:rFonts w:ascii="Arial" w:hAnsi="Arial" w:cs="Arial"/>
        </w:rPr>
      </w:pPr>
      <w:r>
        <w:rPr>
          <w:rFonts w:ascii="Arial" w:hAnsi="Arial" w:cs="Arial"/>
          <w:b/>
        </w:rPr>
        <w:t>s</w:t>
      </w:r>
      <w:r w:rsidR="007933AF" w:rsidRPr="005C3719">
        <w:rPr>
          <w:rFonts w:ascii="Arial" w:hAnsi="Arial" w:cs="Arial"/>
          <w:b/>
        </w:rPr>
        <w:t>ektor publiczny (rząd)</w:t>
      </w:r>
      <w:r w:rsidR="00544500" w:rsidRPr="005C3719">
        <w:rPr>
          <w:rFonts w:ascii="Arial" w:hAnsi="Arial" w:cs="Arial"/>
          <w:b/>
        </w:rPr>
        <w:t xml:space="preserve"> </w:t>
      </w:r>
      <w:r w:rsidR="007933AF" w:rsidRPr="005C3719">
        <w:rPr>
          <w:rFonts w:ascii="Arial" w:hAnsi="Arial" w:cs="Arial"/>
        </w:rPr>
        <w:t>– jego rola ujawnia się w funkcjach fiskalnych i pieniężnych: dochody rządu finansowane z podatków (nakładanych na konsumpcję, pracę i kapitał oraz zanieczyszczenia, a</w:t>
      </w:r>
      <w:r w:rsidR="00544500" w:rsidRPr="005C3719">
        <w:rPr>
          <w:rFonts w:ascii="Arial" w:hAnsi="Arial" w:cs="Arial"/>
        </w:rPr>
        <w:t> </w:t>
      </w:r>
      <w:r w:rsidR="007933AF" w:rsidRPr="005C3719">
        <w:rPr>
          <w:rFonts w:ascii="Arial" w:hAnsi="Arial" w:cs="Arial"/>
        </w:rPr>
        <w:t>więc m.in. PIT, CIT, VAT, składki społeczne oraz opłaty</w:t>
      </w:r>
      <w:r w:rsidR="00FB71ED">
        <w:rPr>
          <w:rFonts w:ascii="Arial" w:hAnsi="Arial" w:cs="Arial"/>
        </w:rPr>
        <w:t xml:space="preserve"> </w:t>
      </w:r>
      <w:r w:rsidR="007933AF" w:rsidRPr="005C3719">
        <w:rPr>
          <w:rFonts w:ascii="Arial" w:hAnsi="Arial" w:cs="Arial"/>
        </w:rPr>
        <w:t>CO</w:t>
      </w:r>
      <w:r w:rsidR="007933AF" w:rsidRPr="00917386">
        <w:rPr>
          <w:rFonts w:ascii="Arial" w:hAnsi="Arial" w:cs="Arial"/>
          <w:vertAlign w:val="subscript"/>
        </w:rPr>
        <w:t>2</w:t>
      </w:r>
      <w:r w:rsidR="007933AF" w:rsidRPr="005C3719">
        <w:rPr>
          <w:rFonts w:ascii="Arial" w:hAnsi="Arial" w:cs="Arial"/>
        </w:rPr>
        <w:t>) a także środków UE i z emisji nowych obligacji, wydatki z kolei sprowadzają się do konsumpcji publicznej, inwestycji publicznych i</w:t>
      </w:r>
      <w:r w:rsidR="00544500" w:rsidRPr="005C3719">
        <w:rPr>
          <w:rFonts w:ascii="Arial" w:hAnsi="Arial" w:cs="Arial"/>
        </w:rPr>
        <w:t> </w:t>
      </w:r>
      <w:r w:rsidR="007933AF" w:rsidRPr="005C3719">
        <w:rPr>
          <w:rFonts w:ascii="Arial" w:hAnsi="Arial" w:cs="Arial"/>
        </w:rPr>
        <w:t>transferów (zarówno uzależnionych od innych zmiennych modelu, np. zasiłków dla bezrobotnych wynikających ze stopy bezrobocia jak i transferów dyskrecjonalnych w tym polityki subwencji dla</w:t>
      </w:r>
      <w:r w:rsidR="00544500" w:rsidRPr="005C3719">
        <w:rPr>
          <w:rFonts w:ascii="Arial" w:hAnsi="Arial" w:cs="Arial"/>
        </w:rPr>
        <w:t> </w:t>
      </w:r>
      <w:r w:rsidR="007933AF" w:rsidRPr="005C3719">
        <w:rPr>
          <w:rFonts w:ascii="Arial" w:hAnsi="Arial" w:cs="Arial"/>
        </w:rPr>
        <w:t>firm), oraz wykupu obligacji. Do tej kategorii zaliczają się również wydatki związane z realizacją programów UE. Tym samym moduł ten uwzględnia rozróżnienie pomiędzy inwestycje infrastrukturalne i pozostałe, umożliwiając ocenę różnych oddziaływań na potencjalny wzrost i</w:t>
      </w:r>
      <w:r w:rsidR="00544500" w:rsidRPr="005C3719">
        <w:rPr>
          <w:rFonts w:ascii="Arial" w:hAnsi="Arial" w:cs="Arial"/>
        </w:rPr>
        <w:t> </w:t>
      </w:r>
      <w:r w:rsidR="007933AF" w:rsidRPr="005C3719">
        <w:rPr>
          <w:rFonts w:ascii="Arial" w:hAnsi="Arial" w:cs="Arial"/>
        </w:rPr>
        <w:t>na</w:t>
      </w:r>
      <w:r w:rsidR="00544500" w:rsidRPr="005C3719">
        <w:rPr>
          <w:rFonts w:ascii="Arial" w:hAnsi="Arial" w:cs="Arial"/>
        </w:rPr>
        <w:t> </w:t>
      </w:r>
      <w:r w:rsidR="007933AF" w:rsidRPr="005C3719">
        <w:rPr>
          <w:rFonts w:ascii="Arial" w:hAnsi="Arial" w:cs="Arial"/>
        </w:rPr>
        <w:t>poprawę podażowej strony gospodarki. Inwestycje prorozwojowe, takie jak inwestycje w</w:t>
      </w:r>
      <w:r w:rsidR="00544500" w:rsidRPr="005C3719">
        <w:rPr>
          <w:rFonts w:ascii="Arial" w:hAnsi="Arial" w:cs="Arial"/>
        </w:rPr>
        <w:t> </w:t>
      </w:r>
      <w:r w:rsidR="007933AF" w:rsidRPr="005C3719">
        <w:rPr>
          <w:rFonts w:ascii="Arial" w:hAnsi="Arial" w:cs="Arial"/>
        </w:rPr>
        <w:t>infrastrukturę, badania i rozwój, szkolenia i</w:t>
      </w:r>
      <w:r w:rsidR="00AF36BC">
        <w:rPr>
          <w:rFonts w:ascii="Arial" w:hAnsi="Arial" w:cs="Arial"/>
        </w:rPr>
        <w:t> </w:t>
      </w:r>
      <w:r w:rsidR="007933AF" w:rsidRPr="005C3719">
        <w:rPr>
          <w:rFonts w:ascii="Arial" w:hAnsi="Arial" w:cs="Arial"/>
        </w:rPr>
        <w:t>edukację są w nim oddzielone od zakupów dóbr i</w:t>
      </w:r>
      <w:r w:rsidR="00544500" w:rsidRPr="005C3719">
        <w:rPr>
          <w:rFonts w:ascii="Arial" w:hAnsi="Arial" w:cs="Arial"/>
        </w:rPr>
        <w:t> </w:t>
      </w:r>
      <w:r w:rsidR="007933AF" w:rsidRPr="005C3719">
        <w:rPr>
          <w:rFonts w:ascii="Arial" w:hAnsi="Arial" w:cs="Arial"/>
        </w:rPr>
        <w:t xml:space="preserve">usług (wydatków na konsumpcję publiczną) </w:t>
      </w:r>
      <w:r w:rsidR="007933AF" w:rsidRPr="005C3719">
        <w:rPr>
          <w:rFonts w:ascii="Arial" w:hAnsi="Arial" w:cs="Arial"/>
        </w:rPr>
        <w:lastRenderedPageBreak/>
        <w:t>oraz transferów. Zadłużenie publiczne jest modelowane w oparciu o literaturę dotyczącą ograniczeń w kształtowaniu się długu publicznego – wzrastający koszt jego obsługi powoduje implicite wprowadzenie ograniczeń w modelu (por.</w:t>
      </w:r>
      <w:r w:rsidR="00544500" w:rsidRPr="005C3719">
        <w:rPr>
          <w:rFonts w:ascii="Arial" w:hAnsi="Arial" w:cs="Arial"/>
        </w:rPr>
        <w:t> </w:t>
      </w:r>
      <w:r w:rsidR="007933AF" w:rsidRPr="005C3719">
        <w:rPr>
          <w:rFonts w:ascii="Arial" w:hAnsi="Arial" w:cs="Arial"/>
        </w:rPr>
        <w:t xml:space="preserve">D’Erasmo et al., 2015). </w:t>
      </w:r>
    </w:p>
    <w:p w14:paraId="43B0AF27" w14:textId="456C52D6" w:rsidR="007933AF" w:rsidRPr="005C3719" w:rsidRDefault="007933AF" w:rsidP="00917386">
      <w:pPr>
        <w:pStyle w:val="Akapitzlist"/>
        <w:numPr>
          <w:ilvl w:val="0"/>
          <w:numId w:val="4"/>
        </w:numPr>
        <w:spacing w:after="120" w:line="276" w:lineRule="auto"/>
        <w:ind w:left="709" w:hanging="425"/>
        <w:contextualSpacing w:val="0"/>
        <w:jc w:val="left"/>
        <w:rPr>
          <w:rFonts w:ascii="Arial" w:hAnsi="Arial" w:cs="Arial"/>
        </w:rPr>
      </w:pPr>
      <w:r w:rsidRPr="005C3719">
        <w:rPr>
          <w:rFonts w:ascii="Arial" w:hAnsi="Arial" w:cs="Arial"/>
          <w:b/>
        </w:rPr>
        <w:t xml:space="preserve">wsparcie UE </w:t>
      </w:r>
      <w:r w:rsidRPr="005C3719">
        <w:rPr>
          <w:rFonts w:ascii="Arial" w:hAnsi="Arial" w:cs="Arial"/>
        </w:rPr>
        <w:t>– pozwala na śledzenie efektów poszczególnych działań podejmowanych w</w:t>
      </w:r>
      <w:r w:rsidR="00AF36BC">
        <w:rPr>
          <w:rFonts w:ascii="Arial" w:hAnsi="Arial" w:cs="Arial"/>
        </w:rPr>
        <w:t> </w:t>
      </w:r>
      <w:r w:rsidRPr="005C3719">
        <w:rPr>
          <w:rFonts w:ascii="Arial" w:hAnsi="Arial" w:cs="Arial"/>
        </w:rPr>
        <w:t>ramach realizacji polityk wspólnotowych na terenie Polski. Wersja modelu dostosowana do</w:t>
      </w:r>
      <w:r w:rsidR="00544500" w:rsidRPr="005C3719">
        <w:rPr>
          <w:rFonts w:ascii="Arial" w:hAnsi="Arial" w:cs="Arial"/>
        </w:rPr>
        <w:t> </w:t>
      </w:r>
      <w:r w:rsidRPr="005C3719">
        <w:rPr>
          <w:rFonts w:ascii="Arial" w:hAnsi="Arial" w:cs="Arial"/>
        </w:rPr>
        <w:t>przeprowadzenia analizy w ramach badania pozwala na modelowanie wpływu poszczególnych rodzajów interwencji (inwestycji infrastrukturalnych, wsparcia dla firm, wsparcia poprawy stanu zasobów ludzkich) na szereg zmiennych ma</w:t>
      </w:r>
      <w:r w:rsidR="0005735B" w:rsidRPr="005C3719">
        <w:rPr>
          <w:rFonts w:ascii="Arial" w:hAnsi="Arial" w:cs="Arial"/>
        </w:rPr>
        <w:t>kr</w:t>
      </w:r>
      <w:r w:rsidRPr="005C3719">
        <w:rPr>
          <w:rFonts w:ascii="Arial" w:hAnsi="Arial" w:cs="Arial"/>
        </w:rPr>
        <w:t xml:space="preserve">oekonomicznych w podziale na regiony, sektory gospodarki i wielkość firm. Sektor rządowy, analogicznie jak w przypadku gospodarstw domowych, stosuje politykę podatkowo-wydatkową (VAT i ulgi inwestycyjne). </w:t>
      </w:r>
    </w:p>
    <w:p w14:paraId="2EA9C3D9" w14:textId="7E12AFC8" w:rsidR="009F5351" w:rsidRPr="005C3719" w:rsidRDefault="007933AF" w:rsidP="00917386">
      <w:pPr>
        <w:pStyle w:val="Akapitzlist"/>
        <w:numPr>
          <w:ilvl w:val="0"/>
          <w:numId w:val="4"/>
        </w:numPr>
        <w:spacing w:after="120" w:line="276" w:lineRule="auto"/>
        <w:ind w:left="709" w:hanging="425"/>
        <w:contextualSpacing w:val="0"/>
        <w:jc w:val="left"/>
        <w:rPr>
          <w:rFonts w:ascii="Arial" w:hAnsi="Arial" w:cs="Arial"/>
        </w:rPr>
      </w:pPr>
      <w:r w:rsidRPr="005C3719">
        <w:rPr>
          <w:rFonts w:ascii="Arial" w:hAnsi="Arial" w:cs="Arial"/>
          <w:b/>
        </w:rPr>
        <w:t>zagranica,</w:t>
      </w:r>
      <w:r w:rsidRPr="005C3719">
        <w:rPr>
          <w:rFonts w:ascii="Arial" w:hAnsi="Arial" w:cs="Arial"/>
        </w:rPr>
        <w:t xml:space="preserve"> stanowiąca modelowalny podmiot istotny z perspektywy wprowadzenia wielu sztywności, których konsekwencją jest niedoskonałe odzwierciedlenie parytetu siły nabywczej w</w:t>
      </w:r>
      <w:r w:rsidR="00544500" w:rsidRPr="005C3719">
        <w:rPr>
          <w:rFonts w:ascii="Arial" w:hAnsi="Arial" w:cs="Arial"/>
        </w:rPr>
        <w:t> </w:t>
      </w:r>
      <w:r w:rsidRPr="005C3719">
        <w:rPr>
          <w:rFonts w:ascii="Arial" w:hAnsi="Arial" w:cs="Arial"/>
        </w:rPr>
        <w:t>krajowej gospodarce. W tym module ujawnia się różnica w specyfikach dóbr wymienialnych i</w:t>
      </w:r>
      <w:r w:rsidR="00544500" w:rsidRPr="005C3719">
        <w:rPr>
          <w:rFonts w:ascii="Arial" w:hAnsi="Arial" w:cs="Arial"/>
        </w:rPr>
        <w:t> </w:t>
      </w:r>
      <w:r w:rsidRPr="005C3719">
        <w:rPr>
          <w:rFonts w:ascii="Arial" w:hAnsi="Arial" w:cs="Arial"/>
        </w:rPr>
        <w:t>niewymienialnych (</w:t>
      </w:r>
      <w:r w:rsidRPr="005C3719">
        <w:rPr>
          <w:rFonts w:ascii="Arial" w:hAnsi="Arial" w:cs="Arial"/>
          <w:i/>
          <w:iCs/>
        </w:rPr>
        <w:t>tradables vs. non-tradables</w:t>
      </w:r>
      <w:r w:rsidRPr="005C3719">
        <w:rPr>
          <w:rFonts w:ascii="Arial" w:hAnsi="Arial" w:cs="Arial"/>
        </w:rPr>
        <w:t>), niepełna wymienność między dobrami krajowymi i zagranicznymi, różnicowanie cen czy koszty transakcyjne handlu zagranicznego. Niedoskonałemu odzwierciedleniu parytetu siły nabywczej towarzyszy niedoskonałość odzwierciedlenia parytetu stóp procentowych (kanałem niezupełnego rynku kapitałowego wraz z</w:t>
      </w:r>
      <w:r w:rsidR="00544500" w:rsidRPr="005C3719">
        <w:rPr>
          <w:rFonts w:ascii="Arial" w:hAnsi="Arial" w:cs="Arial"/>
        </w:rPr>
        <w:t> </w:t>
      </w:r>
      <w:r w:rsidRPr="005C3719">
        <w:rPr>
          <w:rFonts w:ascii="Arial" w:hAnsi="Arial" w:cs="Arial"/>
        </w:rPr>
        <w:t>endogeniczną premią za ryzyko). Umożliwia to uwzględnienie m.in. oddziaływania bezpośrednich inwestycji zagranicznych na gospodarkę Polski.</w:t>
      </w:r>
    </w:p>
    <w:p w14:paraId="2BC53BCC" w14:textId="42AC6056" w:rsidR="003031C1" w:rsidRPr="00917386" w:rsidRDefault="00713B12" w:rsidP="00917386">
      <w:pPr>
        <w:pStyle w:val="Styl1"/>
        <w:jc w:val="left"/>
        <w:rPr>
          <w:color w:val="3C3C3C"/>
        </w:rPr>
      </w:pPr>
      <w:bookmarkStart w:id="11" w:name="_Toc176241613"/>
      <w:r w:rsidRPr="00917386">
        <w:rPr>
          <w:color w:val="3C3C3C"/>
        </w:rPr>
        <w:t>Sektory i regiony w modelu</w:t>
      </w:r>
      <w:bookmarkEnd w:id="11"/>
    </w:p>
    <w:p w14:paraId="7E4B5E4D" w14:textId="7BDDB2A7" w:rsidR="00713B12" w:rsidRPr="005C3719" w:rsidRDefault="00713B12" w:rsidP="00917386">
      <w:pPr>
        <w:spacing w:after="120" w:line="276" w:lineRule="auto"/>
        <w:jc w:val="left"/>
        <w:rPr>
          <w:rFonts w:ascii="Arial" w:hAnsi="Arial" w:cs="Arial"/>
          <w:szCs w:val="18"/>
        </w:rPr>
      </w:pPr>
      <w:bookmarkStart w:id="12" w:name="_Toc494086929"/>
      <w:bookmarkStart w:id="13" w:name="_Toc494085391"/>
      <w:bookmarkStart w:id="14" w:name="_Toc494448952"/>
      <w:r w:rsidRPr="005C3719">
        <w:rPr>
          <w:rFonts w:ascii="Arial" w:hAnsi="Arial" w:cs="Arial"/>
          <w:szCs w:val="18"/>
        </w:rPr>
        <w:t>Podział na sektor</w:t>
      </w:r>
      <w:r w:rsidR="002E6F46" w:rsidRPr="005C3719">
        <w:rPr>
          <w:rFonts w:ascii="Arial" w:hAnsi="Arial" w:cs="Arial"/>
          <w:szCs w:val="18"/>
        </w:rPr>
        <w:t>y w wersji modelu VESPA3 użytym do symulacji jest następujący</w:t>
      </w:r>
      <w:r w:rsidRPr="005C3719">
        <w:rPr>
          <w:rFonts w:ascii="Arial" w:hAnsi="Arial" w:cs="Arial"/>
          <w:szCs w:val="18"/>
        </w:rPr>
        <w:t xml:space="preserve">: </w:t>
      </w:r>
      <w:r w:rsidR="002E6F46" w:rsidRPr="005C3719">
        <w:rPr>
          <w:rFonts w:ascii="Arial" w:hAnsi="Arial" w:cs="Arial"/>
          <w:szCs w:val="18"/>
        </w:rPr>
        <w:t>Rolnictwo (sekcje: A)</w:t>
      </w:r>
      <w:r w:rsidR="00CC2A51" w:rsidRPr="005C3719">
        <w:rPr>
          <w:rFonts w:ascii="Arial" w:hAnsi="Arial" w:cs="Arial"/>
          <w:szCs w:val="18"/>
        </w:rPr>
        <w:t>, p</w:t>
      </w:r>
      <w:r w:rsidR="002E6F46" w:rsidRPr="005C3719">
        <w:rPr>
          <w:rFonts w:ascii="Arial" w:hAnsi="Arial" w:cs="Arial"/>
          <w:szCs w:val="18"/>
        </w:rPr>
        <w:t xml:space="preserve">rzemysł </w:t>
      </w:r>
      <w:r w:rsidR="00CC2A51" w:rsidRPr="005C3719">
        <w:rPr>
          <w:rFonts w:ascii="Arial" w:hAnsi="Arial" w:cs="Arial"/>
          <w:szCs w:val="18"/>
        </w:rPr>
        <w:t xml:space="preserve">przetwórczy </w:t>
      </w:r>
      <w:r w:rsidR="002E6F46" w:rsidRPr="005C3719">
        <w:rPr>
          <w:rFonts w:ascii="Arial" w:hAnsi="Arial" w:cs="Arial"/>
          <w:szCs w:val="18"/>
        </w:rPr>
        <w:t>(sekcj</w:t>
      </w:r>
      <w:r w:rsidR="00CC2A51" w:rsidRPr="005C3719">
        <w:rPr>
          <w:rFonts w:ascii="Arial" w:hAnsi="Arial" w:cs="Arial"/>
          <w:szCs w:val="18"/>
        </w:rPr>
        <w:t>a</w:t>
      </w:r>
      <w:r w:rsidR="002E6F46" w:rsidRPr="005C3719">
        <w:rPr>
          <w:rFonts w:ascii="Arial" w:hAnsi="Arial" w:cs="Arial"/>
          <w:szCs w:val="18"/>
        </w:rPr>
        <w:t>: C)</w:t>
      </w:r>
      <w:r w:rsidR="00CC2A51" w:rsidRPr="005C3719">
        <w:rPr>
          <w:rFonts w:ascii="Arial" w:hAnsi="Arial" w:cs="Arial"/>
          <w:szCs w:val="18"/>
        </w:rPr>
        <w:t xml:space="preserve">, pozostały przemysł i budownictwo </w:t>
      </w:r>
      <w:r w:rsidR="002E6F46" w:rsidRPr="005C3719">
        <w:rPr>
          <w:rFonts w:ascii="Arial" w:hAnsi="Arial" w:cs="Arial"/>
          <w:szCs w:val="18"/>
        </w:rPr>
        <w:t>(sekcje: B</w:t>
      </w:r>
      <w:r w:rsidR="00CC2A51" w:rsidRPr="005C3719">
        <w:rPr>
          <w:rFonts w:ascii="Arial" w:hAnsi="Arial" w:cs="Arial"/>
          <w:szCs w:val="18"/>
        </w:rPr>
        <w:t>-F</w:t>
      </w:r>
      <w:r w:rsidR="002E6F46" w:rsidRPr="005C3719">
        <w:rPr>
          <w:rFonts w:ascii="Arial" w:hAnsi="Arial" w:cs="Arial"/>
          <w:szCs w:val="18"/>
        </w:rPr>
        <w:t>)</w:t>
      </w:r>
      <w:r w:rsidR="00CC2A51" w:rsidRPr="005C3719">
        <w:rPr>
          <w:rFonts w:ascii="Arial" w:hAnsi="Arial" w:cs="Arial"/>
          <w:szCs w:val="18"/>
        </w:rPr>
        <w:t xml:space="preserve">, usługi rynkowe </w:t>
      </w:r>
      <w:r w:rsidR="002E6F46" w:rsidRPr="005C3719">
        <w:rPr>
          <w:rFonts w:ascii="Arial" w:hAnsi="Arial" w:cs="Arial"/>
          <w:szCs w:val="18"/>
        </w:rPr>
        <w:t>(sekcj</w:t>
      </w:r>
      <w:r w:rsidR="00CC2A51" w:rsidRPr="005C3719">
        <w:rPr>
          <w:rFonts w:ascii="Arial" w:hAnsi="Arial" w:cs="Arial"/>
          <w:szCs w:val="18"/>
        </w:rPr>
        <w:t>e</w:t>
      </w:r>
      <w:r w:rsidR="002E6F46" w:rsidRPr="005C3719">
        <w:rPr>
          <w:rFonts w:ascii="Arial" w:hAnsi="Arial" w:cs="Arial"/>
          <w:szCs w:val="18"/>
        </w:rPr>
        <w:t>: G</w:t>
      </w:r>
      <w:r w:rsidR="00CC2A51" w:rsidRPr="005C3719">
        <w:rPr>
          <w:rFonts w:ascii="Arial" w:hAnsi="Arial" w:cs="Arial"/>
          <w:szCs w:val="18"/>
        </w:rPr>
        <w:t>-N i R-T</w:t>
      </w:r>
      <w:r w:rsidR="002E6F46" w:rsidRPr="005C3719">
        <w:rPr>
          <w:rFonts w:ascii="Arial" w:hAnsi="Arial" w:cs="Arial"/>
          <w:szCs w:val="18"/>
        </w:rPr>
        <w:t>)</w:t>
      </w:r>
      <w:r w:rsidR="00CC2A51" w:rsidRPr="005C3719">
        <w:rPr>
          <w:rFonts w:ascii="Arial" w:hAnsi="Arial" w:cs="Arial"/>
          <w:szCs w:val="18"/>
        </w:rPr>
        <w:t xml:space="preserve">, pozostałe usługi </w:t>
      </w:r>
      <w:r w:rsidR="002E6F46" w:rsidRPr="005C3719">
        <w:rPr>
          <w:rFonts w:ascii="Arial" w:hAnsi="Arial" w:cs="Arial"/>
          <w:szCs w:val="18"/>
        </w:rPr>
        <w:t>(sekcj</w:t>
      </w:r>
      <w:r w:rsidR="00CC2A51" w:rsidRPr="005C3719">
        <w:rPr>
          <w:rFonts w:ascii="Arial" w:hAnsi="Arial" w:cs="Arial"/>
          <w:szCs w:val="18"/>
        </w:rPr>
        <w:t>e</w:t>
      </w:r>
      <w:r w:rsidR="002E6F46" w:rsidRPr="005C3719">
        <w:rPr>
          <w:rFonts w:ascii="Arial" w:hAnsi="Arial" w:cs="Arial"/>
          <w:szCs w:val="18"/>
        </w:rPr>
        <w:t xml:space="preserve">: </w:t>
      </w:r>
      <w:r w:rsidR="00CC2A51" w:rsidRPr="005C3719">
        <w:rPr>
          <w:rFonts w:ascii="Arial" w:hAnsi="Arial" w:cs="Arial"/>
          <w:szCs w:val="18"/>
        </w:rPr>
        <w:t>O-Q</w:t>
      </w:r>
      <w:r w:rsidR="002E6F46" w:rsidRPr="005C3719">
        <w:rPr>
          <w:rFonts w:ascii="Arial" w:hAnsi="Arial" w:cs="Arial"/>
          <w:szCs w:val="18"/>
        </w:rPr>
        <w:t>)</w:t>
      </w:r>
      <w:r w:rsidR="00CC2A51" w:rsidRPr="005C3719">
        <w:rPr>
          <w:rFonts w:ascii="Arial" w:hAnsi="Arial" w:cs="Arial"/>
          <w:szCs w:val="18"/>
        </w:rPr>
        <w:t xml:space="preserve">. </w:t>
      </w:r>
      <w:r w:rsidRPr="005C3719">
        <w:rPr>
          <w:rFonts w:ascii="Arial" w:hAnsi="Arial" w:cs="Arial"/>
          <w:szCs w:val="18"/>
        </w:rPr>
        <w:t xml:space="preserve">W warstwie regionalnej model uwzględnia różnice gospodarcze między </w:t>
      </w:r>
      <w:r w:rsidR="002E6F46" w:rsidRPr="005C3719">
        <w:rPr>
          <w:rFonts w:ascii="Arial" w:hAnsi="Arial" w:cs="Arial"/>
          <w:szCs w:val="18"/>
        </w:rPr>
        <w:t>wyszczególnionymi regionami</w:t>
      </w:r>
      <w:r w:rsidRPr="005C3719">
        <w:rPr>
          <w:rFonts w:ascii="Arial" w:hAnsi="Arial" w:cs="Arial"/>
          <w:szCs w:val="18"/>
        </w:rPr>
        <w:t xml:space="preserve"> (m.in. poziom rozwoju gospodarczego, struktura sektorowa, sytuacja na rynku pracy). Umożliwia także zróżnicowanie skali i struktury wydatkowanych środków unijnych, z uwzględnieniem specyfiki </w:t>
      </w:r>
      <w:r w:rsidR="00CC2A51" w:rsidRPr="005C3719">
        <w:rPr>
          <w:rFonts w:ascii="Arial" w:hAnsi="Arial" w:cs="Arial"/>
          <w:szCs w:val="18"/>
        </w:rPr>
        <w:t>Polityki Spójności i innych pokrewnych instrumentów w</w:t>
      </w:r>
      <w:r w:rsidR="00544500" w:rsidRPr="005C3719">
        <w:rPr>
          <w:rFonts w:ascii="Arial" w:hAnsi="Arial" w:cs="Arial"/>
          <w:szCs w:val="18"/>
        </w:rPr>
        <w:t> </w:t>
      </w:r>
      <w:r w:rsidR="00CC2A51" w:rsidRPr="005C3719">
        <w:rPr>
          <w:rFonts w:ascii="Arial" w:hAnsi="Arial" w:cs="Arial"/>
          <w:szCs w:val="18"/>
        </w:rPr>
        <w:t>ramach PROW i KPO</w:t>
      </w:r>
      <w:r w:rsidRPr="005C3719">
        <w:rPr>
          <w:rFonts w:ascii="Arial" w:hAnsi="Arial" w:cs="Arial"/>
          <w:szCs w:val="18"/>
        </w:rPr>
        <w:t>. VESPA3 oddaje wpływ wydatków UE na gospodarkę poprzez bezpośrednie ujęcie wydatków w regionach, a następnie agregację wyników do poziomu krajowego. Dla każdego z</w:t>
      </w:r>
      <w:r w:rsidR="00544500" w:rsidRPr="005C3719">
        <w:rPr>
          <w:rFonts w:ascii="Arial" w:hAnsi="Arial" w:cs="Arial"/>
          <w:szCs w:val="18"/>
        </w:rPr>
        <w:t> </w:t>
      </w:r>
      <w:r w:rsidRPr="005C3719">
        <w:rPr>
          <w:rFonts w:ascii="Arial" w:hAnsi="Arial" w:cs="Arial"/>
          <w:szCs w:val="18"/>
        </w:rPr>
        <w:t>województw uwzględniona została przy tym wymiana handlowa z innymi województwami i</w:t>
      </w:r>
      <w:r w:rsidR="00544500" w:rsidRPr="005C3719">
        <w:rPr>
          <w:rFonts w:ascii="Arial" w:hAnsi="Arial" w:cs="Arial"/>
          <w:szCs w:val="18"/>
        </w:rPr>
        <w:t> </w:t>
      </w:r>
      <w:r w:rsidRPr="005C3719">
        <w:rPr>
          <w:rFonts w:ascii="Arial" w:hAnsi="Arial" w:cs="Arial"/>
          <w:szCs w:val="18"/>
        </w:rPr>
        <w:t>zagranicą, dzięki czemu modelowany jest efekt „przelewania się” efektów interwencji między województwami. W</w:t>
      </w:r>
      <w:r w:rsidR="00404E5F">
        <w:rPr>
          <w:rFonts w:ascii="Arial" w:hAnsi="Arial" w:cs="Arial"/>
          <w:szCs w:val="18"/>
        </w:rPr>
        <w:t> </w:t>
      </w:r>
      <w:r w:rsidRPr="005C3719">
        <w:rPr>
          <w:rFonts w:ascii="Arial" w:hAnsi="Arial" w:cs="Arial"/>
          <w:szCs w:val="18"/>
        </w:rPr>
        <w:t>szczególności za pomocą modelu możliwa jest analiza przelewania się wpływu poza region wydatkowania (np. Polskę Wschodnią).</w:t>
      </w:r>
    </w:p>
    <w:p w14:paraId="1D888FAE" w14:textId="17A3786E" w:rsidR="00713B12" w:rsidRPr="00785460" w:rsidRDefault="00A375CF" w:rsidP="00F15187">
      <w:pPr>
        <w:pStyle w:val="Legenda"/>
      </w:pPr>
      <w:bookmarkStart w:id="15" w:name="_Toc173834352"/>
      <w:r w:rsidRPr="00785460">
        <w:t xml:space="preserve">Schemat </w:t>
      </w:r>
      <w:fldSimple w:instr=" SEQ Schemat \* ARABIC ">
        <w:r w:rsidR="009962A2">
          <w:rPr>
            <w:noProof/>
          </w:rPr>
          <w:t>2</w:t>
        </w:r>
      </w:fldSimple>
      <w:r w:rsidRPr="00785460">
        <w:t xml:space="preserve">. </w:t>
      </w:r>
      <w:r w:rsidR="00713B12" w:rsidRPr="00785460">
        <w:t>Modele krajowe i regionalne w VESPA</w:t>
      </w:r>
      <w:bookmarkEnd w:id="15"/>
    </w:p>
    <w:p w14:paraId="1AFCB93D" w14:textId="77777777" w:rsidR="00713B12" w:rsidRPr="007C36DF" w:rsidRDefault="00713B12" w:rsidP="00917386">
      <w:pPr>
        <w:jc w:val="left"/>
      </w:pPr>
      <w:r>
        <w:rPr>
          <w:noProof/>
          <w:lang w:eastAsia="pl-PL"/>
        </w:rPr>
        <mc:AlternateContent>
          <mc:Choice Requires="wps">
            <w:drawing>
              <wp:anchor distT="0" distB="0" distL="114300" distR="114300" simplePos="0" relativeHeight="251656192" behindDoc="0" locked="0" layoutInCell="1" allowOverlap="1" wp14:anchorId="0002CCB9" wp14:editId="09D9EA7C">
                <wp:simplePos x="0" y="0"/>
                <wp:positionH relativeFrom="column">
                  <wp:posOffset>3053080</wp:posOffset>
                </wp:positionH>
                <wp:positionV relativeFrom="paragraph">
                  <wp:posOffset>701675</wp:posOffset>
                </wp:positionV>
                <wp:extent cx="1991360" cy="417195"/>
                <wp:effectExtent l="0" t="0" r="27940" b="20955"/>
                <wp:wrapNone/>
                <wp:docPr id="225" name="Pole tekstowe 2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91360" cy="417195"/>
                        </a:xfrm>
                        <a:prstGeom prst="rect">
                          <a:avLst/>
                        </a:prstGeom>
                        <a:solidFill>
                          <a:sysClr val="window" lastClr="FFFFFF"/>
                        </a:solidFill>
                        <a:ln w="12700">
                          <a:solidFill>
                            <a:srgbClr val="A5A5A5">
                              <a:lumMod val="75000"/>
                            </a:srgbClr>
                          </a:solidFill>
                          <a:prstDash val="sysDash"/>
                        </a:ln>
                        <a:effectLst/>
                      </wps:spPr>
                      <wps:txbx>
                        <w:txbxContent>
                          <w:p w14:paraId="5BE0B773" w14:textId="77777777" w:rsidR="00713B12" w:rsidRPr="00C4123E" w:rsidRDefault="00713B12" w:rsidP="00713B12">
                            <w:pPr>
                              <w:spacing w:after="0"/>
                              <w:jc w:val="center"/>
                              <w:rPr>
                                <w:b/>
                                <w:sz w:val="16"/>
                              </w:rPr>
                            </w:pPr>
                            <w:r w:rsidRPr="00C4123E">
                              <w:rPr>
                                <w:b/>
                                <w:sz w:val="16"/>
                              </w:rPr>
                              <w:t>Uzgodnienie analiz top-down, bottom-up (model uwzględnia o</w:t>
                            </w:r>
                            <w:r>
                              <w:rPr>
                                <w:b/>
                                <w:sz w:val="16"/>
                              </w:rPr>
                              <w:t>bie perspektywy)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w:pict>
              <v:shape w14:anchorId="0002CCB9" id="Pole tekstowe 225" o:spid="_x0000_s1041" type="#_x0000_t202" alt="&quot;&quot;" style="position:absolute;margin-left:240.4pt;margin-top:55.25pt;width:156.8pt;height:32.8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" fillcolor="window" strokecolor="#7c7c7c" strokeweight="1pt">
                <v:stroke dashstyle="3 1"/>
                <v:path arrowok="t"/>
                <v:textbox>
                  <w:txbxContent>
                    <w:p w14:paraId="5BE0B773" w14:textId="77777777" w:rsidR="00713B12" w:rsidRPr="00C4123E" w:rsidRDefault="00713B12" w:rsidP="00713B12">
                      <w:pPr>
                        <w:spacing w:after="0"/>
                        <w:jc w:val="center"/>
                        <w:rPr>
                          <w:b/>
                          <w:sz w:val="16"/>
                        </w:rPr>
                      </w:pPr>
                      <w:r w:rsidRPr="00C4123E">
                        <w:rPr>
                          <w:b/>
                          <w:sz w:val="16"/>
                        </w:rPr>
                        <w:t xml:space="preserve">Uzgodnienie analiz top-down, </w:t>
                      </w:r>
                      <w:proofErr w:type="spellStart"/>
                      <w:r w:rsidRPr="00C4123E">
                        <w:rPr>
                          <w:b/>
                          <w:sz w:val="16"/>
                        </w:rPr>
                        <w:t>bottom-up</w:t>
                      </w:r>
                      <w:proofErr w:type="spellEnd"/>
                      <w:r w:rsidRPr="00C4123E">
                        <w:rPr>
                          <w:b/>
                          <w:sz w:val="16"/>
                        </w:rPr>
                        <w:t xml:space="preserve"> (model uwzględnia o</w:t>
                      </w:r>
                      <w:r>
                        <w:rPr>
                          <w:b/>
                          <w:sz w:val="16"/>
                        </w:rPr>
                        <w:t>bie perspektywy)</w:t>
                      </w:r>
                    </w:p>
                  </w:txbxContent>
                </v:textbox>
              </v:shape>
            </w:pict>
          </mc:Fallback>
        </mc:AlternateContent>
      </w:r>
      <w:r w:rsidRPr="00A248F9">
        <w:rPr>
          <w:noProof/>
          <w:lang w:eastAsia="pl-PL"/>
        </w:rPr>
        <w:drawing>
          <wp:inline distT="0" distB="0" distL="0" distR="0" wp14:anchorId="3D9B8B0B" wp14:editId="06E2FF1F">
            <wp:extent cx="5517932" cy="2159876"/>
            <wp:effectExtent l="0" t="0" r="0" b="50165"/>
            <wp:docPr id="4" name="Diagram 4" descr="Polska&#10; Moduł agregacji&#10; Region 1&#10; Region 2&#10; ...&#10; Region 16&#10;"/>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p w14:paraId="1C35F1E6" w14:textId="0293953A" w:rsidR="001B7A46" w:rsidRPr="00785460" w:rsidRDefault="00713B12" w:rsidP="00917386">
      <w:pPr>
        <w:pStyle w:val="zrodlo"/>
        <w:spacing w:after="240" w:line="276" w:lineRule="auto"/>
        <w:jc w:val="left"/>
        <w:rPr>
          <w:rFonts w:ascii="Arial" w:hAnsi="Arial" w:cs="Arial"/>
          <w:sz w:val="20"/>
        </w:rPr>
      </w:pPr>
      <w:r w:rsidRPr="00785460">
        <w:rPr>
          <w:rFonts w:ascii="Arial" w:hAnsi="Arial" w:cs="Arial"/>
          <w:sz w:val="20"/>
        </w:rPr>
        <w:t>Źródło: Opracowanie własn</w:t>
      </w:r>
      <w:r w:rsidR="0005735B" w:rsidRPr="00785460">
        <w:rPr>
          <w:rFonts w:ascii="Arial" w:hAnsi="Arial" w:cs="Arial"/>
          <w:sz w:val="20"/>
        </w:rPr>
        <w:t>e.</w:t>
      </w:r>
    </w:p>
    <w:p w14:paraId="4814A02D" w14:textId="06EA27CE" w:rsidR="00C74B6F" w:rsidRPr="00917386" w:rsidRDefault="00C74B6F" w:rsidP="00917386">
      <w:pPr>
        <w:pStyle w:val="Styl1"/>
        <w:jc w:val="left"/>
        <w:rPr>
          <w:color w:val="3C3C3C"/>
        </w:rPr>
      </w:pPr>
      <w:bookmarkStart w:id="16" w:name="_Toc176241614"/>
      <w:r w:rsidRPr="00917386">
        <w:rPr>
          <w:color w:val="3C3C3C"/>
        </w:rPr>
        <w:lastRenderedPageBreak/>
        <w:t>Parametryzacja</w:t>
      </w:r>
      <w:bookmarkEnd w:id="12"/>
      <w:bookmarkEnd w:id="16"/>
      <w:r w:rsidRPr="00917386">
        <w:rPr>
          <w:color w:val="3C3C3C"/>
        </w:rPr>
        <w:t xml:space="preserve"> </w:t>
      </w:r>
    </w:p>
    <w:p w14:paraId="16AF7AB3" w14:textId="77777777" w:rsidR="00DB2468" w:rsidRPr="005C3719" w:rsidRDefault="00DB2468" w:rsidP="00917386">
      <w:pPr>
        <w:spacing w:after="120" w:line="276" w:lineRule="auto"/>
        <w:jc w:val="left"/>
        <w:rPr>
          <w:rFonts w:ascii="Arial" w:hAnsi="Arial" w:cs="Arial"/>
        </w:rPr>
      </w:pPr>
      <w:bookmarkStart w:id="17" w:name="_Toc494086930"/>
      <w:r w:rsidRPr="005C3719">
        <w:rPr>
          <w:rFonts w:ascii="Arial" w:hAnsi="Arial" w:cs="Arial"/>
        </w:rPr>
        <w:t xml:space="preserve">Parametry modelu VESPA3 można podzielić na trzy grupy: (1) Do pierwszej grupy należą parametry, które określają poziom zmiennych w stanie stacjonarnym. (2) Druga klasa składa się z parametrów sterujących reakcją zmiennych na szoki. (3) Trzecia grupa składa się z parametrów opisujących charakter tych szoków z perspektywy podmiotów gospodarujących. </w:t>
      </w:r>
    </w:p>
    <w:p w14:paraId="6502E4A4" w14:textId="54AB7761" w:rsidR="00DB2468" w:rsidRPr="005C3719" w:rsidRDefault="00DB2468" w:rsidP="00917386">
      <w:pPr>
        <w:spacing w:after="120" w:line="276" w:lineRule="auto"/>
        <w:jc w:val="left"/>
        <w:rPr>
          <w:rFonts w:ascii="Arial" w:hAnsi="Arial" w:cs="Arial"/>
        </w:rPr>
      </w:pPr>
      <w:r w:rsidRPr="005C3719">
        <w:rPr>
          <w:rFonts w:ascii="Arial" w:hAnsi="Arial" w:cs="Arial"/>
          <w:b/>
        </w:rPr>
        <w:t>Pierwsza klasa</w:t>
      </w:r>
      <w:r w:rsidRPr="005C3719">
        <w:rPr>
          <w:rFonts w:ascii="Arial" w:hAnsi="Arial" w:cs="Arial"/>
        </w:rPr>
        <w:t xml:space="preserve"> </w:t>
      </w:r>
      <w:r w:rsidRPr="005C3719">
        <w:rPr>
          <w:rFonts w:ascii="Arial" w:hAnsi="Arial" w:cs="Arial"/>
          <w:b/>
        </w:rPr>
        <w:t>parametrów modelu</w:t>
      </w:r>
      <w:r w:rsidRPr="005C3719">
        <w:rPr>
          <w:rFonts w:ascii="Arial" w:hAnsi="Arial" w:cs="Arial"/>
        </w:rPr>
        <w:t xml:space="preserve"> – obejmująca ok. 80% wszystkich -</w:t>
      </w:r>
      <w:r w:rsidR="00544500" w:rsidRPr="005C3719">
        <w:rPr>
          <w:rFonts w:ascii="Arial" w:hAnsi="Arial" w:cs="Arial"/>
        </w:rPr>
        <w:t xml:space="preserve"> </w:t>
      </w:r>
      <w:r w:rsidRPr="005C3719">
        <w:rPr>
          <w:rFonts w:ascii="Arial" w:hAnsi="Arial" w:cs="Arial"/>
        </w:rPr>
        <w:t>to parametry determinujące długookresowe relacje między zmiennymi makroekonomicznymi m.in. w obszarze rachunków narodowych (produkcja globalna, PKB, wartość dodana, konsumpcja, inwestycje, eksport, import); w</w:t>
      </w:r>
      <w:r w:rsidR="00544500" w:rsidRPr="005C3719">
        <w:rPr>
          <w:rFonts w:ascii="Arial" w:hAnsi="Arial" w:cs="Arial"/>
        </w:rPr>
        <w:t> </w:t>
      </w:r>
      <w:r w:rsidRPr="005C3719">
        <w:rPr>
          <w:rFonts w:ascii="Arial" w:hAnsi="Arial" w:cs="Arial"/>
        </w:rPr>
        <w:t>obszarze rynku pracy (zatrudnienie, bezrobocie, aktywność zawodowa, płace) czy w obszarze rachunków sektora finansów publicznych (dochody z VAT, PIT, CIT, składki na ubezpieczenia społeczne, wydatki na konsumpcję publiczną, inwestycje publiczne, transfery, obsługę długu). Istnieje bezpośrednia korespondencja (funkcja jednowartościowa) między wartościami parametrów należących do tej klasy, a adekwatnymi zmiennymi makroekonomicznymi takimi jak np. przepływy międzygałęziowe (macierze I/O), rachunki narodowe, dane dot. rynku pracy, czy rachunki sektora publicznego. Formalnie rzecz biorąc oznacza to, że stan stacjonarny modelu (i długookresowa ścieżka wzrostu – trend scenariusza bazowego) jest wyznaczony jednoznacznie przez obserwowane dane, a</w:t>
      </w:r>
      <w:r w:rsidR="00544500" w:rsidRPr="005C3719">
        <w:rPr>
          <w:rFonts w:ascii="Arial" w:hAnsi="Arial" w:cs="Arial"/>
        </w:rPr>
        <w:t> </w:t>
      </w:r>
      <w:r w:rsidRPr="005C3719">
        <w:rPr>
          <w:rFonts w:ascii="Arial" w:hAnsi="Arial" w:cs="Arial"/>
        </w:rPr>
        <w:t>pierwsza klasa parametrów modelu jest przez nie jednoznacznie determinowana. Parametry należące do tej klasy przyjmują wartości implikowane przez obserwacje i strukturę modelu, a ich wartości wyznaczane są przez solver numeryczny w taki sposób by stan stacjonarny modelu odzwierciedlał możliwie najbardziej aktualną (tj. opartą na najnowszych danych) „fotografię” polskiej i europejskiej gospodarki. Dane te pochodzą bezpośrednio z baz EUROSTAT oraz GUS i są publicznie dostępne, a wyznaczone na ich podstawie parametry są wyznaczone dokładnie. W przypadku sektora bankowego i bilansu płatniczego model posiłkuje się danymi NBP, w przypadku sektora finansów publicznych danymi MF, zaś w</w:t>
      </w:r>
      <w:r w:rsidR="00404E5F">
        <w:rPr>
          <w:rFonts w:ascii="Arial" w:hAnsi="Arial" w:cs="Arial"/>
        </w:rPr>
        <w:t> </w:t>
      </w:r>
      <w:r w:rsidRPr="005C3719">
        <w:rPr>
          <w:rFonts w:ascii="Arial" w:hAnsi="Arial" w:cs="Arial"/>
        </w:rPr>
        <w:t xml:space="preserve">odniesieniu do bloku UE danymi Ministerstwa Funduszy. </w:t>
      </w:r>
    </w:p>
    <w:p w14:paraId="3B0A4996" w14:textId="4DA81792" w:rsidR="00DB2468" w:rsidRPr="005C3719" w:rsidRDefault="00DB2468" w:rsidP="00917386">
      <w:pPr>
        <w:spacing w:after="120" w:line="276" w:lineRule="auto"/>
        <w:jc w:val="left"/>
        <w:rPr>
          <w:rFonts w:ascii="Arial" w:hAnsi="Arial" w:cs="Arial"/>
        </w:rPr>
      </w:pPr>
      <w:r w:rsidRPr="005C3719">
        <w:rPr>
          <w:rFonts w:ascii="Arial" w:hAnsi="Arial" w:cs="Arial"/>
          <w:b/>
        </w:rPr>
        <w:t xml:space="preserve">Druga </w:t>
      </w:r>
      <w:r w:rsidR="00A376D5">
        <w:rPr>
          <w:rFonts w:ascii="Arial" w:hAnsi="Arial" w:cs="Arial"/>
          <w:b/>
        </w:rPr>
        <w:t>klasa</w:t>
      </w:r>
      <w:r w:rsidR="00A376D5" w:rsidRPr="005C3719">
        <w:rPr>
          <w:rFonts w:ascii="Arial" w:hAnsi="Arial" w:cs="Arial"/>
          <w:b/>
        </w:rPr>
        <w:t xml:space="preserve"> </w:t>
      </w:r>
      <w:r w:rsidRPr="005C3719">
        <w:rPr>
          <w:rFonts w:ascii="Arial" w:hAnsi="Arial" w:cs="Arial"/>
          <w:b/>
        </w:rPr>
        <w:t>parametrów</w:t>
      </w:r>
      <w:r w:rsidRPr="005C3719">
        <w:rPr>
          <w:rFonts w:ascii="Arial" w:hAnsi="Arial" w:cs="Arial"/>
        </w:rPr>
        <w:t xml:space="preserve"> </w:t>
      </w:r>
      <w:r w:rsidRPr="005C3719">
        <w:rPr>
          <w:rFonts w:ascii="Arial" w:hAnsi="Arial" w:cs="Arial"/>
          <w:b/>
        </w:rPr>
        <w:t>modelu</w:t>
      </w:r>
      <w:r w:rsidRPr="005C3719">
        <w:rPr>
          <w:rFonts w:ascii="Arial" w:hAnsi="Arial" w:cs="Arial"/>
        </w:rPr>
        <w:t xml:space="preserve"> obejmuje ok 15-17% ich ogólnej liczby i niemal wyłącznie elastyczności występujących w funkcjach opisujących poszczególne segmenty modelu m.in.</w:t>
      </w:r>
      <w:r w:rsidR="00544500" w:rsidRPr="005C3719">
        <w:rPr>
          <w:rFonts w:ascii="Arial" w:hAnsi="Arial" w:cs="Arial"/>
        </w:rPr>
        <w:t> </w:t>
      </w:r>
      <w:r w:rsidRPr="005C3719">
        <w:rPr>
          <w:rFonts w:ascii="Arial" w:hAnsi="Arial" w:cs="Arial"/>
        </w:rPr>
        <w:t>technologie produkcji, parametry rynku pracy, funkcję użyteczności gospodarstwa domowego itp. Elastyczności te są odpowiedzialne za względną odpowiedź poszczególnych zmiennych na szoki makroekonomiczne, a w konsekwencji związane z ich odchyleniami względem zmiennej odniesienia (np. PKB) w cyklu koniunkturalnym. Są one wyznaczane na podstawie danych europejskich lub kalibrowane na podstawie literatury przedmiotu. W pierwszym wypadku estymacja dokonuje się w</w:t>
      </w:r>
      <w:r w:rsidR="00544500" w:rsidRPr="005C3719">
        <w:rPr>
          <w:rFonts w:ascii="Arial" w:hAnsi="Arial" w:cs="Arial"/>
        </w:rPr>
        <w:t> </w:t>
      </w:r>
      <w:r w:rsidRPr="005C3719">
        <w:rPr>
          <w:rFonts w:ascii="Arial" w:hAnsi="Arial" w:cs="Arial"/>
        </w:rPr>
        <w:t>sposób podobny jak w modelu Smetsa i Woutersa (2003) tj. przy pomocy metod estymacji bayesowskiej. Są one stosowane powszechnie w modelowaniu typu DSGE (por. An i Schorfheide (2007) oraz Herbst i Schorfheide (2015)) ze względu na swoją elastyczność i uniwersalność a</w:t>
      </w:r>
      <w:r w:rsidR="00404E5F">
        <w:rPr>
          <w:rFonts w:ascii="Arial" w:hAnsi="Arial" w:cs="Arial"/>
        </w:rPr>
        <w:t> </w:t>
      </w:r>
      <w:r w:rsidRPr="005C3719">
        <w:rPr>
          <w:rFonts w:ascii="Arial" w:hAnsi="Arial" w:cs="Arial"/>
        </w:rPr>
        <w:t>jednocześnie bezstronność tj. odporność na preferencję zespołu modelującego. Parametry te nie zależą istotnie od danej gospodarki, bowiem odzwierciedlają one bardziej uniwersalne własności podmiotów gospodarujących: kształt ludzkich preferencji, specyfikę globalnych technologii produkcji czy charakter procesu wynalazczego. Jako takie nie muszą a nawet nie powinny być więc wyznaczane na podstawie danych krajowych, lecz raczej znaleźć oparcie w przekrojowych danych międzynarodowych lub</w:t>
      </w:r>
      <w:r w:rsidR="00544500" w:rsidRPr="005C3719">
        <w:rPr>
          <w:rFonts w:ascii="Arial" w:hAnsi="Arial" w:cs="Arial"/>
        </w:rPr>
        <w:t xml:space="preserve"> </w:t>
      </w:r>
      <w:r w:rsidRPr="005C3719">
        <w:rPr>
          <w:rFonts w:ascii="Arial" w:hAnsi="Arial" w:cs="Arial"/>
        </w:rPr>
        <w:t>wyspecjalizowanej literaturze przedmiotu zajmującej się poszczególnymi obszarami tematycznymi, a</w:t>
      </w:r>
      <w:r w:rsidR="00544500" w:rsidRPr="005C3719">
        <w:rPr>
          <w:rFonts w:ascii="Arial" w:hAnsi="Arial" w:cs="Arial"/>
        </w:rPr>
        <w:t> </w:t>
      </w:r>
      <w:r w:rsidRPr="005C3719">
        <w:rPr>
          <w:rFonts w:ascii="Arial" w:hAnsi="Arial" w:cs="Arial"/>
        </w:rPr>
        <w:t xml:space="preserve">więc prac, których autorzy zajmowali się parametryzacją modeli DSGE. </w:t>
      </w:r>
    </w:p>
    <w:p w14:paraId="14B5C973" w14:textId="2ABB2668" w:rsidR="00DB2468" w:rsidRPr="005C3719" w:rsidRDefault="00DB2468" w:rsidP="00917386">
      <w:pPr>
        <w:spacing w:after="120" w:line="276" w:lineRule="auto"/>
        <w:jc w:val="left"/>
        <w:rPr>
          <w:rFonts w:ascii="Arial" w:hAnsi="Arial" w:cs="Arial"/>
        </w:rPr>
      </w:pPr>
      <w:r w:rsidRPr="005C3719">
        <w:rPr>
          <w:rFonts w:ascii="Arial" w:hAnsi="Arial" w:cs="Arial"/>
        </w:rPr>
        <w:t>Zarazem w przypadku części parametrów estymacja jest niepotrzebna ze względu na duży konsensus w literaturze co do zakresu zmienności danych parametrów. Może być także niemożliwa ze względu na brak odpowiednich danych. Dotyczy to ok. 5% parametrów modelu. W takich sytuacjach dany parametr jest wyznaczany na podstawie przeglądu literatury. Dotyczy to m.in. elastyczności substytucji pomiędzy pracą i kapitałem, którą przyjmujemy na poziomie 1 (funkcja Cobba-Douglasa). Podobnie parametr awersji do ryzyka w funkcji konsumpcji wyznaczamy za literaturą (por. Kydland i Prescott (1982) na</w:t>
      </w:r>
      <w:r w:rsidR="00404E5F">
        <w:rPr>
          <w:rFonts w:ascii="Arial" w:hAnsi="Arial" w:cs="Arial"/>
        </w:rPr>
        <w:t> </w:t>
      </w:r>
      <w:r w:rsidRPr="005C3719">
        <w:rPr>
          <w:rFonts w:ascii="Arial" w:hAnsi="Arial" w:cs="Arial"/>
        </w:rPr>
        <w:t xml:space="preserve">poziomie 2 (sigma = 2) co jest wielkością stosowaną standardowo w modelach </w:t>
      </w:r>
      <w:r w:rsidRPr="005C3719">
        <w:rPr>
          <w:rFonts w:ascii="Arial" w:hAnsi="Arial" w:cs="Arial"/>
        </w:rPr>
        <w:lastRenderedPageBreak/>
        <w:t>DSGE. Z kolei preferencje czasowe konsumenta są bezpośrednio wyznaczone przez częstotliwość roczną modelu (beta= 0,93 – por. Smets i Wouters (2003)).</w:t>
      </w:r>
    </w:p>
    <w:p w14:paraId="1CFDFEF8" w14:textId="6FB99E2D" w:rsidR="00DB2468" w:rsidRPr="005C3719" w:rsidRDefault="00DB2468" w:rsidP="00917386">
      <w:pPr>
        <w:spacing w:after="120" w:line="276" w:lineRule="auto"/>
        <w:jc w:val="left"/>
        <w:rPr>
          <w:rFonts w:ascii="Arial" w:hAnsi="Arial" w:cs="Arial"/>
        </w:rPr>
      </w:pPr>
      <w:r w:rsidRPr="005C3719">
        <w:rPr>
          <w:rFonts w:ascii="Arial" w:hAnsi="Arial" w:cs="Arial"/>
          <w:b/>
        </w:rPr>
        <w:t>Trzecia klasa parametrów</w:t>
      </w:r>
      <w:r w:rsidRPr="005C3719">
        <w:rPr>
          <w:rFonts w:ascii="Arial" w:hAnsi="Arial" w:cs="Arial"/>
        </w:rPr>
        <w:t xml:space="preserve"> jest najmniej liczna (3-5% całkowitej liczby parametrów) a zarazem </w:t>
      </w:r>
      <w:r w:rsidRPr="005C3719">
        <w:rPr>
          <w:rFonts w:ascii="Arial" w:hAnsi="Arial" w:cs="Arial"/>
          <w:u w:val="single"/>
        </w:rPr>
        <w:t>zależna od konkretnych pytań badawczych postawionych przed modelem</w:t>
      </w:r>
      <w:r w:rsidRPr="005C3719">
        <w:rPr>
          <w:rFonts w:ascii="Arial" w:hAnsi="Arial" w:cs="Arial"/>
        </w:rPr>
        <w:t>. Co do zasady mogą one przyjmować dowolne wartości zależnie od tego jakiego typu pytania są zadawane modelowi. Jeśli np. zakładamy, że podmioty gospodarujące traktowały interwencję w ramach polityki spójności jako krótkotrwałą, autokorelacje odpowiednich szoków będą bliskie zeru. Jeśli stwierdzimy natomiast, że miała ona – w</w:t>
      </w:r>
      <w:r w:rsidR="00544500" w:rsidRPr="005C3719">
        <w:rPr>
          <w:rFonts w:ascii="Arial" w:hAnsi="Arial" w:cs="Arial"/>
        </w:rPr>
        <w:t> </w:t>
      </w:r>
      <w:r w:rsidRPr="005C3719">
        <w:rPr>
          <w:rFonts w:ascii="Arial" w:hAnsi="Arial" w:cs="Arial"/>
        </w:rPr>
        <w:t>oczekiwaniach podmiotów - charakter permanentny, nadamy im wartości bliskie jedynce. W obu wypadkach odpowiedź modelu w krótkim okresie może być inna, choć w długim będzie taka sama. Możliwe są też wartości pośrednie zależne od potrzeb symulacyjnych. Podobnie jest w przypadku innych szoków. Wartości te zostaną wyznaczone w trakcie projektu na podstawie jakościowej analizy interwencji podejmowanej w polityce spójności (przykładowo inaczej może być traktowana polityka spójności a inaczej środki dostępne w ramach KPO).</w:t>
      </w:r>
    </w:p>
    <w:p w14:paraId="36D11D85" w14:textId="4A234752" w:rsidR="00DB2468" w:rsidRPr="00917386" w:rsidRDefault="00261BEF" w:rsidP="00917386">
      <w:pPr>
        <w:pStyle w:val="Styl1"/>
        <w:jc w:val="left"/>
        <w:rPr>
          <w:color w:val="3C3C3C"/>
        </w:rPr>
      </w:pPr>
      <w:bookmarkStart w:id="18" w:name="_Toc176241615"/>
      <w:r w:rsidRPr="00917386">
        <w:rPr>
          <w:color w:val="3C3C3C"/>
        </w:rPr>
        <w:t>W</w:t>
      </w:r>
      <w:r w:rsidR="00DB2468" w:rsidRPr="00917386">
        <w:rPr>
          <w:color w:val="3C3C3C"/>
        </w:rPr>
        <w:t>ykorzystywane dane</w:t>
      </w:r>
      <w:bookmarkEnd w:id="18"/>
    </w:p>
    <w:p w14:paraId="48508BDC" w14:textId="77777777" w:rsidR="00586CF2" w:rsidRPr="005C3719" w:rsidRDefault="00586CF2" w:rsidP="00586CF2">
      <w:pPr>
        <w:spacing w:after="120" w:line="276" w:lineRule="auto"/>
        <w:jc w:val="left"/>
        <w:rPr>
          <w:rFonts w:ascii="Arial" w:hAnsi="Arial" w:cs="Arial"/>
        </w:rPr>
      </w:pPr>
      <w:r w:rsidRPr="005C3719">
        <w:rPr>
          <w:rFonts w:ascii="Arial" w:hAnsi="Arial" w:cs="Arial"/>
        </w:rPr>
        <w:t xml:space="preserve">Model VESPA3 </w:t>
      </w:r>
      <w:r w:rsidRPr="005C3719">
        <w:rPr>
          <w:rFonts w:ascii="Arial" w:hAnsi="Arial" w:cs="Arial"/>
          <w:b/>
          <w:bCs/>
        </w:rPr>
        <w:t>wykorzystuje publicznie dostępne dane</w:t>
      </w:r>
      <w:r w:rsidRPr="005C3719">
        <w:rPr>
          <w:rFonts w:ascii="Arial" w:hAnsi="Arial" w:cs="Arial"/>
        </w:rPr>
        <w:t xml:space="preserve"> pochodzące z baz GUS (dane makroekonomiczne, dane dot. rynku pracy z BAEL, dane dot. regionów z BDL), NBP (bilans płatniczy, obroty z zagranicą, polityka pieniężna, inflacja, kursy walutowe), Ministerstwo Finansów (sektor finansów publicznych, sektor instytucji rządowych i samorządowych, dochody, wydatki, deficyt, dług) czy Ministerstwa Funduszy (wydatki dot.</w:t>
      </w:r>
      <w:r>
        <w:rPr>
          <w:rFonts w:ascii="Arial" w:hAnsi="Arial" w:cs="Arial"/>
        </w:rPr>
        <w:t> </w:t>
      </w:r>
      <w:r w:rsidRPr="005C3719">
        <w:rPr>
          <w:rFonts w:ascii="Arial" w:hAnsi="Arial" w:cs="Arial"/>
        </w:rPr>
        <w:t>polityki spójności i innych funduszy europejskich wydatkowanych w przeszłości i planowanych do</w:t>
      </w:r>
      <w:r>
        <w:rPr>
          <w:rFonts w:ascii="Arial" w:hAnsi="Arial" w:cs="Arial"/>
        </w:rPr>
        <w:t> </w:t>
      </w:r>
      <w:r w:rsidRPr="005C3719">
        <w:rPr>
          <w:rFonts w:ascii="Arial" w:hAnsi="Arial" w:cs="Arial"/>
        </w:rPr>
        <w:t>wydatkowania w przyszłości w ramach rozpoczynającej się perspektywy finansowej czy środków powiązanych z KPO).</w:t>
      </w:r>
      <w:r>
        <w:rPr>
          <w:rFonts w:ascii="Arial" w:hAnsi="Arial" w:cs="Arial"/>
        </w:rPr>
        <w:t xml:space="preserve"> Ze względu na konieczność zachowania spójności wewnętrznej przeprowadzonych symulacji do celów obliczenia wskaźników rynku pracy (wskaźnika zatrudnienia, stopy bezrobocia itp.) oraz zmiennych z rachunków narodowych w ujęciu per capita (np. PKB per capita) zastosowano jednolitą populację podczas gdy w bazach GUS/EUROSTAT nie ma to miejsca co – zależnie od interpretacji – zaniża PKB per capita w polskich regionach lub zawyża raportowane przez GUS wskaźniki zatrudnienia i aktywności. W przeprowadzonych symulacjach odwzorowano dokładnie raportowane przez GUS poziomy zmiennych z rachunków narodowych a także liczebności osób pracujących i bezrobotnych, jednak – w związku z koniecznością zachowania matematycznej spójności w modelu i jednolitą populację. spowodowało to nieco inne wielkości wskaźników rynku pracy (zatrudnienia i bezrobocia) od tych raportowanych przez GUS i EUROSTAT. Konwencja ta nie ma jednak wpływu na wyniki symulacji w ujęciu względnym (odchylenie od scenariusza bez funduszy w proc. lub pkt. proc.) oraz na wyniki odnoszące się do liczebności osób pracujących i bezrobotnych.</w:t>
      </w:r>
    </w:p>
    <w:p w14:paraId="321B5B5D" w14:textId="47AA8525" w:rsidR="001B7A46" w:rsidRDefault="00DB2468" w:rsidP="00917386">
      <w:pPr>
        <w:spacing w:after="120" w:line="276" w:lineRule="auto"/>
        <w:jc w:val="left"/>
        <w:rPr>
          <w:rFonts w:ascii="Arial" w:hAnsi="Arial" w:cs="Arial"/>
        </w:rPr>
      </w:pPr>
      <w:r w:rsidRPr="005C3719">
        <w:rPr>
          <w:rFonts w:ascii="Arial" w:hAnsi="Arial" w:cs="Arial"/>
        </w:rPr>
        <w:t xml:space="preserve">Dane te są wykorzystywane po pierwsze </w:t>
      </w:r>
      <w:r w:rsidRPr="005C3719">
        <w:rPr>
          <w:rFonts w:ascii="Arial" w:hAnsi="Arial" w:cs="Arial"/>
          <w:b/>
          <w:bCs/>
        </w:rPr>
        <w:t>do celów parametryzacji</w:t>
      </w:r>
      <w:r w:rsidRPr="005C3719">
        <w:rPr>
          <w:rFonts w:ascii="Arial" w:hAnsi="Arial" w:cs="Arial"/>
        </w:rPr>
        <w:t xml:space="preserve"> samego modelu (por. część dotycząca parametryzacji), po drugie </w:t>
      </w:r>
      <w:r w:rsidRPr="005C3719">
        <w:rPr>
          <w:rFonts w:ascii="Arial" w:hAnsi="Arial" w:cs="Arial"/>
          <w:b/>
          <w:bCs/>
        </w:rPr>
        <w:t>do celów konstrukcji scenariusza odniesienia</w:t>
      </w:r>
      <w:r w:rsidRPr="005C3719">
        <w:rPr>
          <w:rFonts w:ascii="Arial" w:hAnsi="Arial" w:cs="Arial"/>
        </w:rPr>
        <w:t xml:space="preserve"> (porównaj sekcja dot. scenariuszy) a także po trzecie </w:t>
      </w:r>
      <w:r w:rsidRPr="005C3719">
        <w:rPr>
          <w:rFonts w:ascii="Arial" w:hAnsi="Arial" w:cs="Arial"/>
          <w:b/>
          <w:bCs/>
        </w:rPr>
        <w:t>do celów symulacji wpływu</w:t>
      </w:r>
      <w:r w:rsidRPr="005C3719">
        <w:rPr>
          <w:rFonts w:ascii="Arial" w:hAnsi="Arial" w:cs="Arial"/>
        </w:rPr>
        <w:t xml:space="preserve"> oddziaływania polityki spójności i</w:t>
      </w:r>
      <w:r w:rsidR="00544500" w:rsidRPr="005C3719">
        <w:rPr>
          <w:rFonts w:ascii="Arial" w:hAnsi="Arial" w:cs="Arial"/>
        </w:rPr>
        <w:t> </w:t>
      </w:r>
      <w:r w:rsidRPr="005C3719">
        <w:rPr>
          <w:rFonts w:ascii="Arial" w:hAnsi="Arial" w:cs="Arial"/>
        </w:rPr>
        <w:t>innych interwencji na gospodarkę Polski (scenariusze kontrfaktyczne – por. sekcja dot.</w:t>
      </w:r>
      <w:r w:rsidR="00404E5F">
        <w:rPr>
          <w:rFonts w:ascii="Arial" w:hAnsi="Arial" w:cs="Arial"/>
        </w:rPr>
        <w:t> </w:t>
      </w:r>
      <w:r w:rsidRPr="005C3719">
        <w:rPr>
          <w:rFonts w:ascii="Arial" w:hAnsi="Arial" w:cs="Arial"/>
        </w:rPr>
        <w:t>scenariuszy). Symulacja ta obejmie wszystkie zmienne wymagane przez Zamawiającego zarówno na szczeblu krajowym jak i regionalnym uwidocznione w tabeli widocznej na następnej stronie. Do celów symulacji wykorzystano dane finansowe na temat zrealizowanych i/lub prognozowanych płatności na</w:t>
      </w:r>
      <w:r w:rsidR="00404E5F">
        <w:rPr>
          <w:rFonts w:ascii="Arial" w:hAnsi="Arial" w:cs="Arial"/>
        </w:rPr>
        <w:t> </w:t>
      </w:r>
      <w:r w:rsidRPr="005C3719">
        <w:rPr>
          <w:rFonts w:ascii="Arial" w:hAnsi="Arial" w:cs="Arial"/>
        </w:rPr>
        <w:t>rzecz beneficjentów ze środków unijnych i odpowiadającego im współfinansowania krajowego w</w:t>
      </w:r>
      <w:r w:rsidR="00544500" w:rsidRPr="005C3719">
        <w:rPr>
          <w:rFonts w:ascii="Arial" w:hAnsi="Arial" w:cs="Arial"/>
        </w:rPr>
        <w:t> </w:t>
      </w:r>
      <w:r w:rsidRPr="005C3719">
        <w:rPr>
          <w:rFonts w:ascii="Arial" w:hAnsi="Arial" w:cs="Arial"/>
        </w:rPr>
        <w:t>poszczególnych latach w okresie 2004-2029 w następujących przekrojach (PS, PROW, KPO) w</w:t>
      </w:r>
      <w:r w:rsidR="00544500" w:rsidRPr="005C3719">
        <w:rPr>
          <w:rFonts w:ascii="Arial" w:hAnsi="Arial" w:cs="Arial"/>
        </w:rPr>
        <w:t> </w:t>
      </w:r>
      <w:r w:rsidRPr="005C3719">
        <w:rPr>
          <w:rFonts w:ascii="Arial" w:hAnsi="Arial" w:cs="Arial"/>
        </w:rPr>
        <w:t>podziale na kolejne perspektywy finansowe tj. 2004-2006, 2007-2013, 2014-2020, 2021-2027 oraz</w:t>
      </w:r>
      <w:r w:rsidR="00544500" w:rsidRPr="005C3719">
        <w:rPr>
          <w:rFonts w:ascii="Arial" w:hAnsi="Arial" w:cs="Arial"/>
        </w:rPr>
        <w:t xml:space="preserve"> </w:t>
      </w:r>
      <w:r w:rsidRPr="005C3719">
        <w:rPr>
          <w:rFonts w:ascii="Arial" w:hAnsi="Arial" w:cs="Arial"/>
        </w:rPr>
        <w:t>dodatkowo: KPO w latach 2023-2026, przy uwzględnieniu zasady n+2/3 oraz w podziale na zagregowane obszary tematyczne (na podstawie kategorii interwencji).</w:t>
      </w:r>
    </w:p>
    <w:p w14:paraId="22A521AE" w14:textId="77777777" w:rsidR="00586CF2" w:rsidRPr="005C3719" w:rsidRDefault="00586CF2" w:rsidP="00917386">
      <w:pPr>
        <w:spacing w:after="120" w:line="276" w:lineRule="auto"/>
        <w:jc w:val="left"/>
        <w:rPr>
          <w:rFonts w:ascii="Arial" w:hAnsi="Arial" w:cs="Arial"/>
        </w:rPr>
      </w:pPr>
    </w:p>
    <w:p w14:paraId="4138CE43" w14:textId="7EBF35D6" w:rsidR="00605815" w:rsidRPr="00917386" w:rsidRDefault="00605815" w:rsidP="00917386">
      <w:pPr>
        <w:pStyle w:val="Styl1"/>
        <w:jc w:val="left"/>
        <w:rPr>
          <w:color w:val="3C3C3C"/>
        </w:rPr>
      </w:pPr>
      <w:bookmarkStart w:id="19" w:name="_Toc176241616"/>
      <w:r w:rsidRPr="00917386">
        <w:rPr>
          <w:color w:val="3C3C3C"/>
        </w:rPr>
        <w:lastRenderedPageBreak/>
        <w:t xml:space="preserve">Szacowane </w:t>
      </w:r>
      <w:r w:rsidR="00404E5F" w:rsidRPr="00917386">
        <w:rPr>
          <w:color w:val="3C3C3C"/>
        </w:rPr>
        <w:t>e</w:t>
      </w:r>
      <w:r w:rsidRPr="00917386">
        <w:rPr>
          <w:color w:val="3C3C3C"/>
        </w:rPr>
        <w:t>fekty oddziaływania funduszy UE</w:t>
      </w:r>
      <w:bookmarkEnd w:id="19"/>
    </w:p>
    <w:p w14:paraId="09EB50BB" w14:textId="449D2311" w:rsidR="0063239B" w:rsidRPr="005C3719" w:rsidRDefault="0055358D" w:rsidP="00917386">
      <w:pPr>
        <w:spacing w:after="120" w:line="276" w:lineRule="auto"/>
        <w:jc w:val="left"/>
        <w:rPr>
          <w:rFonts w:ascii="Arial" w:hAnsi="Arial" w:cs="Arial"/>
        </w:rPr>
      </w:pPr>
      <w:r w:rsidRPr="005C3719">
        <w:rPr>
          <w:rFonts w:ascii="Arial" w:hAnsi="Arial" w:cs="Arial"/>
        </w:rPr>
        <w:t>Model VESPA3 został zaprojektowany do badania wpływu funduszy europejskich na polską gospodarkę (na poziomie makroekonomicznym, sektorowym i regionalnym), przy czym wpływ ograniczono do</w:t>
      </w:r>
      <w:r w:rsidR="00544500" w:rsidRPr="005C3719">
        <w:rPr>
          <w:rFonts w:ascii="Arial" w:hAnsi="Arial" w:cs="Arial"/>
        </w:rPr>
        <w:t> </w:t>
      </w:r>
      <w:r w:rsidRPr="005C3719">
        <w:rPr>
          <w:rFonts w:ascii="Arial" w:hAnsi="Arial" w:cs="Arial"/>
        </w:rPr>
        <w:t xml:space="preserve">wsparcia podzielonego na trzy główne kategorie: </w:t>
      </w:r>
      <w:r w:rsidRPr="005C3719">
        <w:rPr>
          <w:rFonts w:ascii="Arial" w:hAnsi="Arial" w:cs="Arial"/>
          <w:b/>
          <w:bCs/>
        </w:rPr>
        <w:t xml:space="preserve">infrastrukturę podstawową, bezpośrednie wsparcie </w:t>
      </w:r>
      <w:r w:rsidR="00A376D5">
        <w:rPr>
          <w:rFonts w:ascii="Arial" w:hAnsi="Arial" w:cs="Arial"/>
          <w:b/>
          <w:bCs/>
        </w:rPr>
        <w:t>przedsiębiorstw,</w:t>
      </w:r>
      <w:r w:rsidRPr="005C3719">
        <w:rPr>
          <w:rFonts w:ascii="Arial" w:hAnsi="Arial" w:cs="Arial"/>
          <w:b/>
          <w:bCs/>
        </w:rPr>
        <w:t xml:space="preserve"> </w:t>
      </w:r>
      <w:r w:rsidRPr="005C3719">
        <w:rPr>
          <w:rFonts w:ascii="Arial" w:hAnsi="Arial" w:cs="Arial"/>
        </w:rPr>
        <w:t xml:space="preserve">i </w:t>
      </w:r>
      <w:r w:rsidRPr="005C3719">
        <w:rPr>
          <w:rFonts w:ascii="Arial" w:hAnsi="Arial" w:cs="Arial"/>
          <w:b/>
          <w:bCs/>
        </w:rPr>
        <w:t>rozwój zasobów ludzkich</w:t>
      </w:r>
      <w:r w:rsidRPr="005C3719">
        <w:rPr>
          <w:rFonts w:ascii="Arial" w:hAnsi="Arial" w:cs="Arial"/>
        </w:rPr>
        <w:t>. Oznacza to, że oddziaływanie interwencji współfinansowanej z funduszy UE (w tym strukturalnych, Funduszu Spójności, PROW, KPO) może być badane w modelu VESPA3 z uwzględnieniem (wyodrębnieniem) podziałów na dziedziny takie jak infrastruktura, zasoby ludzkie czy inwestycje w sektor produkcyjny (subsydia dla firm, w tym subsydia do inwestycji i B+R). Jest to możliwe dzięki temu, że strona podażowa modelu uwzględnia podstawowe determinanty potencjału produkcyjnego gospodarki: inwestycje prywatne i publiczne, efekty zewnętrzne infrastruktury, efekty zewnętrzne akumulacji wiedzy, prywatną akumulację wiedzy, badania i rozwój itp. (por. sekcje wcześniejsze opisujące model).</w:t>
      </w:r>
    </w:p>
    <w:p w14:paraId="645646CF" w14:textId="081A2584" w:rsidR="00A36774" w:rsidRPr="005C3719" w:rsidRDefault="0055358D" w:rsidP="00917386">
      <w:pPr>
        <w:spacing w:after="120" w:line="276" w:lineRule="auto"/>
        <w:jc w:val="left"/>
        <w:rPr>
          <w:rFonts w:ascii="Arial" w:hAnsi="Arial" w:cs="Arial"/>
        </w:rPr>
      </w:pPr>
      <w:r w:rsidRPr="005C3719">
        <w:rPr>
          <w:rFonts w:ascii="Arial" w:hAnsi="Arial" w:cs="Arial"/>
        </w:rPr>
        <w:t xml:space="preserve">Dzięki temu w modelu możliwe jest analizowanie </w:t>
      </w:r>
      <w:r w:rsidR="0063239B" w:rsidRPr="005C3719">
        <w:rPr>
          <w:rFonts w:ascii="Arial" w:hAnsi="Arial" w:cs="Arial"/>
        </w:rPr>
        <w:t>dwóch głównych mechanizmów jakim</w:t>
      </w:r>
      <w:r w:rsidR="003C25BA" w:rsidRPr="005C3719">
        <w:rPr>
          <w:rFonts w:ascii="Arial" w:hAnsi="Arial" w:cs="Arial"/>
        </w:rPr>
        <w:t>i</w:t>
      </w:r>
      <w:r w:rsidR="0063239B" w:rsidRPr="005C3719">
        <w:rPr>
          <w:rFonts w:ascii="Arial" w:hAnsi="Arial" w:cs="Arial"/>
        </w:rPr>
        <w:t xml:space="preserve"> fundusze </w:t>
      </w:r>
      <w:r w:rsidR="003C25BA" w:rsidRPr="005C3719">
        <w:rPr>
          <w:rFonts w:ascii="Arial" w:hAnsi="Arial" w:cs="Arial"/>
        </w:rPr>
        <w:t>wpływają na gospodarkę</w:t>
      </w:r>
      <w:r w:rsidR="003C25BA" w:rsidRPr="005C3719">
        <w:rPr>
          <w:rFonts w:ascii="Arial" w:hAnsi="Arial" w:cs="Arial"/>
          <w:b/>
          <w:bCs/>
        </w:rPr>
        <w:t>: efektów popytowych</w:t>
      </w:r>
      <w:r w:rsidR="003C25BA" w:rsidRPr="005C3719">
        <w:rPr>
          <w:rFonts w:ascii="Arial" w:hAnsi="Arial" w:cs="Arial"/>
        </w:rPr>
        <w:t xml:space="preserve"> oraz </w:t>
      </w:r>
      <w:r w:rsidR="003C25BA" w:rsidRPr="005C3719">
        <w:rPr>
          <w:rFonts w:ascii="Arial" w:hAnsi="Arial" w:cs="Arial"/>
          <w:b/>
          <w:bCs/>
        </w:rPr>
        <w:t>efektów podażowych</w:t>
      </w:r>
      <w:r w:rsidR="003C25BA" w:rsidRPr="005C3719">
        <w:rPr>
          <w:rFonts w:ascii="Arial" w:hAnsi="Arial" w:cs="Arial"/>
        </w:rPr>
        <w:t xml:space="preserve">. </w:t>
      </w:r>
      <w:r w:rsidR="003C25BA" w:rsidRPr="005C3719">
        <w:rPr>
          <w:rFonts w:ascii="Arial" w:hAnsi="Arial" w:cs="Arial"/>
          <w:b/>
          <w:bCs/>
        </w:rPr>
        <w:t>Efekty popytowe</w:t>
      </w:r>
      <w:r w:rsidR="003C25BA" w:rsidRPr="005C3719">
        <w:rPr>
          <w:rFonts w:ascii="Arial" w:hAnsi="Arial" w:cs="Arial"/>
        </w:rPr>
        <w:t xml:space="preserve"> występują w okresie wydatkowania wsparcia oddziałując na </w:t>
      </w:r>
      <w:r w:rsidR="001E0065" w:rsidRPr="005C3719">
        <w:rPr>
          <w:rFonts w:ascii="Arial" w:hAnsi="Arial" w:cs="Arial"/>
        </w:rPr>
        <w:t xml:space="preserve">wskaźniki makroekonomiczne poprzez </w:t>
      </w:r>
      <w:r w:rsidR="003C25BA" w:rsidRPr="005C3719">
        <w:rPr>
          <w:rFonts w:ascii="Arial" w:hAnsi="Arial" w:cs="Arial"/>
        </w:rPr>
        <w:t>zwiększeni</w:t>
      </w:r>
      <w:r w:rsidR="001E0065" w:rsidRPr="005C3719">
        <w:rPr>
          <w:rFonts w:ascii="Arial" w:hAnsi="Arial" w:cs="Arial"/>
        </w:rPr>
        <w:t>e</w:t>
      </w:r>
      <w:r w:rsidR="003C25BA" w:rsidRPr="005C3719">
        <w:rPr>
          <w:rFonts w:ascii="Arial" w:hAnsi="Arial" w:cs="Arial"/>
        </w:rPr>
        <w:t xml:space="preserve"> popytu zagregowanego na dobra</w:t>
      </w:r>
      <w:r w:rsidR="001E0065" w:rsidRPr="005C3719">
        <w:rPr>
          <w:rFonts w:ascii="Arial" w:hAnsi="Arial" w:cs="Arial"/>
        </w:rPr>
        <w:t xml:space="preserve"> i</w:t>
      </w:r>
      <w:r w:rsidR="003C25BA" w:rsidRPr="005C3719">
        <w:rPr>
          <w:rFonts w:ascii="Arial" w:hAnsi="Arial" w:cs="Arial"/>
        </w:rPr>
        <w:t xml:space="preserve"> usługi </w:t>
      </w:r>
      <w:r w:rsidR="001E0065" w:rsidRPr="005C3719">
        <w:rPr>
          <w:rFonts w:ascii="Arial" w:hAnsi="Arial" w:cs="Arial"/>
        </w:rPr>
        <w:t>oraz na</w:t>
      </w:r>
      <w:r w:rsidR="003C25BA" w:rsidRPr="005C3719">
        <w:rPr>
          <w:rFonts w:ascii="Arial" w:hAnsi="Arial" w:cs="Arial"/>
        </w:rPr>
        <w:t xml:space="preserve"> czynniki produkcji (pracę i kapitał)</w:t>
      </w:r>
      <w:r w:rsidR="001E0065" w:rsidRPr="005C3719">
        <w:rPr>
          <w:rFonts w:ascii="Arial" w:hAnsi="Arial" w:cs="Arial"/>
        </w:rPr>
        <w:t>. wydatkowania środków UE jest równoważny ekspansji fiskalnej finansowanej z pomocy zagranicznej, a</w:t>
      </w:r>
      <w:r w:rsidR="00404E5F">
        <w:rPr>
          <w:rFonts w:ascii="Arial" w:hAnsi="Arial" w:cs="Arial"/>
        </w:rPr>
        <w:t> </w:t>
      </w:r>
      <w:r w:rsidR="001E0065" w:rsidRPr="005C3719">
        <w:rPr>
          <w:rFonts w:ascii="Arial" w:hAnsi="Arial" w:cs="Arial"/>
        </w:rPr>
        <w:t>więc bez konieczności podnoszenia podatków lub zaciągania dodatkowego długu publicznego. Pozytywny wpływ tego rodzaju ekspansji na PKB czy zatrudnienie jest szczególnie wysoki ze względu na relatywnie dużą wartość tzw. mnożników keynesowskich powiązanych z polityką wymagającą jedynie częściowego finansowania krajowego. Z kolei spadek skali finansowania np. w wyniku kończenia się danej perspektywy finansowej i jej niepełnego zastąpienia przez kolejną, równoważny jest kontrakcji fiskalnej przeprowadzanej jednak ponownie bez konieczności podnoszenia podatków. Fakt istnienia efektów popytowych z jednej strony zwiększa skalę oddziaływania funduszy UE na</w:t>
      </w:r>
      <w:r w:rsidR="00404E5F">
        <w:rPr>
          <w:rFonts w:ascii="Arial" w:hAnsi="Arial" w:cs="Arial"/>
        </w:rPr>
        <w:t> </w:t>
      </w:r>
      <w:r w:rsidR="001E0065" w:rsidRPr="005C3719">
        <w:rPr>
          <w:rFonts w:ascii="Arial" w:hAnsi="Arial" w:cs="Arial"/>
        </w:rPr>
        <w:t xml:space="preserve">gospodarkę w krótkim okresie (mnożniki keynesowskie) a z drugiej powoduje, że </w:t>
      </w:r>
      <w:r w:rsidR="0058053E" w:rsidRPr="005C3719">
        <w:rPr>
          <w:rFonts w:ascii="Arial" w:hAnsi="Arial" w:cs="Arial"/>
        </w:rPr>
        <w:t xml:space="preserve">duża część tego oddziaływania jest przejściowa (zależna od wydatkowania). Inaczej jest w przypadku </w:t>
      </w:r>
      <w:r w:rsidR="0058053E" w:rsidRPr="005C3719">
        <w:rPr>
          <w:rFonts w:ascii="Arial" w:hAnsi="Arial" w:cs="Arial"/>
          <w:b/>
          <w:bCs/>
        </w:rPr>
        <w:t>efektów podażowych</w:t>
      </w:r>
      <w:r w:rsidR="0058053E" w:rsidRPr="005C3719">
        <w:rPr>
          <w:rFonts w:ascii="Arial" w:hAnsi="Arial" w:cs="Arial"/>
        </w:rPr>
        <w:t xml:space="preserve">, które wiążą się z akumulacją </w:t>
      </w:r>
      <w:r w:rsidR="0058053E" w:rsidRPr="005C3719">
        <w:rPr>
          <w:rFonts w:ascii="Arial" w:hAnsi="Arial" w:cs="Arial"/>
          <w:b/>
          <w:bCs/>
        </w:rPr>
        <w:t>kapitału fizycznego</w:t>
      </w:r>
      <w:r w:rsidR="0058053E" w:rsidRPr="005C3719">
        <w:rPr>
          <w:rFonts w:ascii="Arial" w:hAnsi="Arial" w:cs="Arial"/>
        </w:rPr>
        <w:t xml:space="preserve"> (w postaci infrastruktury, maszyn i</w:t>
      </w:r>
      <w:r w:rsidR="00544500" w:rsidRPr="005C3719">
        <w:rPr>
          <w:rFonts w:ascii="Arial" w:hAnsi="Arial" w:cs="Arial"/>
        </w:rPr>
        <w:t> </w:t>
      </w:r>
      <w:r w:rsidR="0058053E" w:rsidRPr="005C3719">
        <w:rPr>
          <w:rFonts w:ascii="Arial" w:hAnsi="Arial" w:cs="Arial"/>
        </w:rPr>
        <w:t xml:space="preserve">urządzeń oraz budynków) oraz </w:t>
      </w:r>
      <w:r w:rsidR="0058053E" w:rsidRPr="005C3719">
        <w:rPr>
          <w:rFonts w:ascii="Arial" w:hAnsi="Arial" w:cs="Arial"/>
          <w:b/>
          <w:bCs/>
        </w:rPr>
        <w:t>kapitału ludzkiego</w:t>
      </w:r>
      <w:r w:rsidR="0058053E" w:rsidRPr="005C3719">
        <w:rPr>
          <w:rFonts w:ascii="Arial" w:hAnsi="Arial" w:cs="Arial"/>
        </w:rPr>
        <w:t xml:space="preserve"> (zwiększającego produktywność pracy oraz zmniejszającego koszt poszukiwania zatrudnienia na rynku pracy). W ich wypadku oddziaływanie jest długotrwałe tj. wykracza na wiele lat poza okres wydatkowania środków, lecz także stopniowo zanika</w:t>
      </w:r>
      <w:r w:rsidR="0058053E" w:rsidRPr="005C3719">
        <w:t xml:space="preserve"> </w:t>
      </w:r>
      <w:r w:rsidR="0058053E" w:rsidRPr="005C3719">
        <w:rPr>
          <w:rFonts w:ascii="Arial" w:hAnsi="Arial" w:cs="Arial"/>
        </w:rPr>
        <w:t xml:space="preserve">wraz ze stopniową amortyzacją dodatkowego kapitału zakumulowanego w odpowiedzi na wsparcie UE. </w:t>
      </w:r>
      <w:r w:rsidR="00A36774" w:rsidRPr="005C3719">
        <w:rPr>
          <w:rFonts w:ascii="Arial" w:hAnsi="Arial" w:cs="Arial"/>
        </w:rPr>
        <w:t>Złożenie obu efektów w połączeniu z wahaniami zakresu i skali wsparcia przekłada się na zmiany szacowanego wpływu jakie środki UE mają na poszczególne zmienne w kolejnych latach analizowanego okresu 2004-2033.</w:t>
      </w:r>
    </w:p>
    <w:p w14:paraId="372DEB50" w14:textId="40214790" w:rsidR="009F5351" w:rsidRPr="005C3719" w:rsidRDefault="003D4D9B" w:rsidP="00917386">
      <w:pPr>
        <w:spacing w:after="120" w:line="276" w:lineRule="auto"/>
        <w:jc w:val="left"/>
        <w:rPr>
          <w:rFonts w:ascii="Arial" w:hAnsi="Arial" w:cs="Arial"/>
        </w:rPr>
      </w:pPr>
      <w:r w:rsidRPr="005C3719">
        <w:rPr>
          <w:rFonts w:ascii="Arial" w:hAnsi="Arial" w:cs="Arial"/>
        </w:rPr>
        <w:t xml:space="preserve">Należy przy tym podkreślić, że podobnie jak „zwykłe” instrumenty polityki fiskalnej, także wydatki finansowane ze środków UE </w:t>
      </w:r>
      <w:r w:rsidR="00A36774" w:rsidRPr="005C3719">
        <w:rPr>
          <w:rFonts w:ascii="Arial" w:hAnsi="Arial" w:cs="Arial"/>
        </w:rPr>
        <w:t>mają (za pośrednictwem efektów popytowych i podażowych) bezpośredni wpływ na poziom poszczególnych zmiennych makroekonomicznych a nie na dynamikę ich wzrostu. Przykładowo wydatki na infrastrukturę podstawową podnoszą poziom PKB w krótkim okresie poprzez wzrost popytu zagregowanego i w długim poprzez zwiększenie kapitalizacji gospodarki, lecz na</w:t>
      </w:r>
      <w:r w:rsidR="00544500" w:rsidRPr="005C3719">
        <w:rPr>
          <w:rFonts w:ascii="Arial" w:hAnsi="Arial" w:cs="Arial"/>
        </w:rPr>
        <w:t> </w:t>
      </w:r>
      <w:r w:rsidR="00A36774" w:rsidRPr="005C3719">
        <w:rPr>
          <w:rFonts w:ascii="Arial" w:hAnsi="Arial" w:cs="Arial"/>
        </w:rPr>
        <w:t>dynamikę PKB oddziałują przede wszystkim w okresach kiedy ich wydatkowanie rośnie lub maleje.</w:t>
      </w:r>
      <w:r w:rsidR="009F5351" w:rsidRPr="005C3719">
        <w:rPr>
          <w:rFonts w:ascii="Arial" w:hAnsi="Arial" w:cs="Arial"/>
        </w:rPr>
        <w:br w:type="page"/>
      </w:r>
    </w:p>
    <w:p w14:paraId="19EE520C" w14:textId="187061DA" w:rsidR="00C247BC" w:rsidRPr="00471B0B" w:rsidRDefault="00C247BC" w:rsidP="00917386">
      <w:pPr>
        <w:pStyle w:val="Styl2"/>
        <w:jc w:val="left"/>
      </w:pPr>
      <w:bookmarkStart w:id="20" w:name="_Toc176241617"/>
      <w:r>
        <w:lastRenderedPageBreak/>
        <w:t>Założenia makroekonomiczne i finansowe</w:t>
      </w:r>
      <w:bookmarkEnd w:id="20"/>
    </w:p>
    <w:p w14:paraId="46C3AF84" w14:textId="769D802B" w:rsidR="00C247BC" w:rsidRPr="00917386" w:rsidRDefault="00C247BC" w:rsidP="00917386">
      <w:pPr>
        <w:pStyle w:val="Styl1"/>
        <w:jc w:val="left"/>
        <w:rPr>
          <w:color w:val="3C3C3C"/>
        </w:rPr>
      </w:pPr>
      <w:bookmarkStart w:id="21" w:name="_Toc176241618"/>
      <w:r w:rsidRPr="00917386">
        <w:rPr>
          <w:color w:val="3C3C3C"/>
        </w:rPr>
        <w:t>Scenariusz odniesienia</w:t>
      </w:r>
      <w:bookmarkEnd w:id="21"/>
    </w:p>
    <w:p w14:paraId="190C8C24" w14:textId="12039096" w:rsidR="00DB2468" w:rsidRPr="005C3719" w:rsidRDefault="00DB2468" w:rsidP="00917386">
      <w:pPr>
        <w:spacing w:after="120" w:line="276" w:lineRule="auto"/>
        <w:jc w:val="left"/>
        <w:rPr>
          <w:rFonts w:ascii="Arial" w:hAnsi="Arial" w:cs="Arial"/>
        </w:rPr>
      </w:pPr>
      <w:bookmarkStart w:id="22" w:name="_Toc494086931"/>
      <w:r w:rsidRPr="005C3719">
        <w:rPr>
          <w:rFonts w:ascii="Arial" w:hAnsi="Arial" w:cs="Arial"/>
        </w:rPr>
        <w:t xml:space="preserve">Model VESPA3 prezentuje wyniki w odniesieniu do </w:t>
      </w:r>
      <w:r w:rsidRPr="005C3719">
        <w:rPr>
          <w:rFonts w:ascii="Arial" w:hAnsi="Arial" w:cs="Arial"/>
          <w:b/>
          <w:bCs/>
        </w:rPr>
        <w:t>scenariusza bazowego</w:t>
      </w:r>
      <w:r w:rsidRPr="005C3719">
        <w:rPr>
          <w:rFonts w:ascii="Arial" w:hAnsi="Arial" w:cs="Arial"/>
        </w:rPr>
        <w:t xml:space="preserve"> (referencyjnego) obejmującego historyczne (lata 2004-202</w:t>
      </w:r>
      <w:r w:rsidR="00444775" w:rsidRPr="005C3719">
        <w:rPr>
          <w:rFonts w:ascii="Arial" w:hAnsi="Arial" w:cs="Arial"/>
        </w:rPr>
        <w:t>2</w:t>
      </w:r>
      <w:r w:rsidRPr="005C3719">
        <w:rPr>
          <w:rFonts w:ascii="Arial" w:hAnsi="Arial" w:cs="Arial"/>
        </w:rPr>
        <w:t>) i prognozowane (2023-2033) zachowanie się zmiennych makroekonomicznych symulowanych w modelu, w tym:</w:t>
      </w:r>
    </w:p>
    <w:p w14:paraId="1168F621" w14:textId="57C32658" w:rsidR="00DB2468" w:rsidRPr="005C3719" w:rsidRDefault="00DB2468" w:rsidP="00917386">
      <w:pPr>
        <w:pStyle w:val="Akapitzlist"/>
        <w:numPr>
          <w:ilvl w:val="0"/>
          <w:numId w:val="6"/>
        </w:numPr>
        <w:spacing w:after="120" w:line="276" w:lineRule="auto"/>
        <w:contextualSpacing w:val="0"/>
        <w:jc w:val="left"/>
        <w:rPr>
          <w:rFonts w:ascii="Arial" w:hAnsi="Arial" w:cs="Arial"/>
        </w:rPr>
      </w:pPr>
      <w:r w:rsidRPr="005C3719">
        <w:rPr>
          <w:rFonts w:ascii="Arial" w:hAnsi="Arial" w:cs="Arial"/>
        </w:rPr>
        <w:t>PKB, wartość dodanej, produkcji, produktywności,</w:t>
      </w:r>
    </w:p>
    <w:p w14:paraId="02B71A8C" w14:textId="77777777" w:rsidR="00DB2468" w:rsidRPr="005C3719" w:rsidRDefault="00DB2468" w:rsidP="00917386">
      <w:pPr>
        <w:pStyle w:val="Akapitzlist"/>
        <w:numPr>
          <w:ilvl w:val="0"/>
          <w:numId w:val="6"/>
        </w:numPr>
        <w:spacing w:after="120" w:line="276" w:lineRule="auto"/>
        <w:contextualSpacing w:val="0"/>
        <w:jc w:val="left"/>
        <w:rPr>
          <w:rFonts w:ascii="Arial" w:hAnsi="Arial" w:cs="Arial"/>
        </w:rPr>
      </w:pPr>
      <w:r w:rsidRPr="005C3719">
        <w:rPr>
          <w:rFonts w:ascii="Arial" w:hAnsi="Arial" w:cs="Arial"/>
        </w:rPr>
        <w:t>Składowych PKB (inwestycji, konsumpcji, eksportu, importu);</w:t>
      </w:r>
    </w:p>
    <w:p w14:paraId="45821612" w14:textId="77777777" w:rsidR="00DB2468" w:rsidRPr="005C3719" w:rsidRDefault="00DB2468" w:rsidP="00917386">
      <w:pPr>
        <w:pStyle w:val="Akapitzlist"/>
        <w:numPr>
          <w:ilvl w:val="0"/>
          <w:numId w:val="6"/>
        </w:numPr>
        <w:spacing w:after="120" w:line="276" w:lineRule="auto"/>
        <w:contextualSpacing w:val="0"/>
        <w:jc w:val="left"/>
        <w:rPr>
          <w:rFonts w:ascii="Arial" w:hAnsi="Arial" w:cs="Arial"/>
        </w:rPr>
      </w:pPr>
      <w:r w:rsidRPr="005C3719">
        <w:rPr>
          <w:rFonts w:ascii="Arial" w:hAnsi="Arial" w:cs="Arial"/>
        </w:rPr>
        <w:t>Rynku pracy (zatrudnienie, bezrobocie, aktywność, produktywność, płace);</w:t>
      </w:r>
    </w:p>
    <w:p w14:paraId="2A9586A3" w14:textId="77777777" w:rsidR="00DB2468" w:rsidRPr="005C3719" w:rsidRDefault="00DB2468" w:rsidP="00917386">
      <w:pPr>
        <w:pStyle w:val="Akapitzlist"/>
        <w:numPr>
          <w:ilvl w:val="0"/>
          <w:numId w:val="6"/>
        </w:numPr>
        <w:spacing w:after="120" w:line="276" w:lineRule="auto"/>
        <w:contextualSpacing w:val="0"/>
        <w:jc w:val="left"/>
        <w:rPr>
          <w:rFonts w:ascii="Arial" w:hAnsi="Arial" w:cs="Arial"/>
        </w:rPr>
      </w:pPr>
      <w:r w:rsidRPr="005C3719">
        <w:rPr>
          <w:rFonts w:ascii="Arial" w:hAnsi="Arial" w:cs="Arial"/>
        </w:rPr>
        <w:t>Finansów publicznych (podatków i wydatków z uwzględnieniem środków UE);</w:t>
      </w:r>
    </w:p>
    <w:p w14:paraId="69F8A253" w14:textId="74A2DF4C" w:rsidR="00444775" w:rsidRPr="005C3719" w:rsidRDefault="00DB2468" w:rsidP="00917386">
      <w:pPr>
        <w:pStyle w:val="Akapitzlist"/>
        <w:numPr>
          <w:ilvl w:val="0"/>
          <w:numId w:val="6"/>
        </w:numPr>
        <w:spacing w:after="120" w:line="276" w:lineRule="auto"/>
        <w:contextualSpacing w:val="0"/>
        <w:jc w:val="left"/>
        <w:rPr>
          <w:rFonts w:ascii="Arial" w:hAnsi="Arial" w:cs="Arial"/>
        </w:rPr>
      </w:pPr>
      <w:r w:rsidRPr="005C3719">
        <w:rPr>
          <w:rFonts w:ascii="Arial" w:hAnsi="Arial" w:cs="Arial"/>
        </w:rPr>
        <w:t>Wyników przedsiębiorstw (produktywność, nakłady na B+R i kapitał).</w:t>
      </w:r>
    </w:p>
    <w:p w14:paraId="194381C5" w14:textId="275D64F1" w:rsidR="00DB2468" w:rsidRPr="005C3719" w:rsidRDefault="00DB2468" w:rsidP="00917386">
      <w:pPr>
        <w:spacing w:after="120" w:line="276" w:lineRule="auto"/>
        <w:jc w:val="left"/>
        <w:rPr>
          <w:rFonts w:ascii="Arial" w:hAnsi="Arial" w:cs="Arial"/>
        </w:rPr>
      </w:pPr>
      <w:r w:rsidRPr="005C3719">
        <w:rPr>
          <w:rFonts w:ascii="Arial" w:hAnsi="Arial" w:cs="Arial"/>
        </w:rPr>
        <w:t>Poszczególne zmienne w scenariuszu bazowym reprezentowane są w przekrojach adekwatnych do dezagregacji obecnej w modelu (np. regionalnym, sektorowym, wg klas firm itp.). Scenariusz bazowy konstruowany jest na podstawie danych historycznych dotyczących gospodarki Polski i UE pozwalających wyznaczyć trendy w przebiegu poszczególnych zmiennych makroekonomicznych opisujących zachowanie się tych gospodarek w perspektywie najbliższego dziesięciolecia. Oznacza to, że dla okresów historycznych scenariusz bazowy będzie odpowiadał rzeczywistym zmianom zachodzącym w gospodarce. Zarazem jego założenia co do przyszłości (m.in. dynamika PKB, kurs PLN/EUR oraz inflacja) będą zgodne z ostatnimi dostępnymi w momencie rozpoczęcia prac nad danym raportem Wytycznymi Ministra Finansów dotyczącymi stosowania jednolitych wskaźników makroekonomicznych będących podstawą oszacowania skutków finansowych projektowanych ustaw, dostępnymi na stronie MF oraz aktualnym Programem Konwergencji/ustawą budżetową. Projekcje pozostałych wskaźników w scenariuszu bazowym będą miały walory prognozy długookresowej.</w:t>
      </w:r>
    </w:p>
    <w:p w14:paraId="4DD61046" w14:textId="051671D8" w:rsidR="00DB2468" w:rsidRPr="005C3719" w:rsidRDefault="187FDE9E" w:rsidP="00917386">
      <w:pPr>
        <w:spacing w:after="120" w:line="276" w:lineRule="auto"/>
        <w:jc w:val="left"/>
        <w:rPr>
          <w:rFonts w:ascii="Arial" w:hAnsi="Arial" w:cs="Arial"/>
        </w:rPr>
      </w:pPr>
      <w:r w:rsidRPr="4A5201E7">
        <w:rPr>
          <w:rFonts w:ascii="Arial" w:hAnsi="Arial" w:cs="Arial"/>
        </w:rPr>
        <w:t xml:space="preserve">Scenariusz bazowy jest scenariuszem </w:t>
      </w:r>
      <w:r w:rsidRPr="4A5201E7">
        <w:rPr>
          <w:rFonts w:ascii="Arial" w:hAnsi="Arial" w:cs="Arial"/>
          <w:b/>
          <w:bCs/>
        </w:rPr>
        <w:t xml:space="preserve">z funduszami. </w:t>
      </w:r>
      <w:r w:rsidRPr="4A5201E7">
        <w:rPr>
          <w:rFonts w:ascii="Arial" w:hAnsi="Arial" w:cs="Arial"/>
        </w:rPr>
        <w:t xml:space="preserve">Zarazem model symuluje alternatywne </w:t>
      </w:r>
      <w:r w:rsidRPr="4A5201E7">
        <w:rPr>
          <w:rFonts w:ascii="Arial" w:hAnsi="Arial" w:cs="Arial"/>
          <w:b/>
          <w:bCs/>
        </w:rPr>
        <w:t>scenariusze bez funduszy</w:t>
      </w:r>
      <w:r w:rsidRPr="4A5201E7">
        <w:rPr>
          <w:rFonts w:ascii="Arial" w:hAnsi="Arial" w:cs="Arial"/>
        </w:rPr>
        <w:t xml:space="preserve"> (scenariusze kontrfaktyczne)</w:t>
      </w:r>
      <w:r w:rsidR="44CE426B" w:rsidRPr="4A5201E7">
        <w:rPr>
          <w:rFonts w:ascii="Arial" w:hAnsi="Arial" w:cs="Arial"/>
        </w:rPr>
        <w:t>,</w:t>
      </w:r>
      <w:r w:rsidRPr="4A5201E7">
        <w:rPr>
          <w:rFonts w:ascii="Arial" w:hAnsi="Arial" w:cs="Arial"/>
        </w:rPr>
        <w:t xml:space="preserve"> tj. hipotetyczne scenariusze, w których w</w:t>
      </w:r>
      <w:r w:rsidR="355C68BD" w:rsidRPr="4A5201E7">
        <w:rPr>
          <w:rFonts w:ascii="Arial" w:hAnsi="Arial" w:cs="Arial"/>
        </w:rPr>
        <w:t> </w:t>
      </w:r>
      <w:r w:rsidRPr="4A5201E7">
        <w:rPr>
          <w:rFonts w:ascii="Arial" w:hAnsi="Arial" w:cs="Arial"/>
        </w:rPr>
        <w:t>latach 2004-</w:t>
      </w:r>
      <w:r w:rsidR="00A376D5" w:rsidRPr="4A5201E7">
        <w:rPr>
          <w:rFonts w:ascii="Arial" w:hAnsi="Arial" w:cs="Arial"/>
        </w:rPr>
        <w:t>202</w:t>
      </w:r>
      <w:r w:rsidR="00A376D5">
        <w:rPr>
          <w:rFonts w:ascii="Arial" w:hAnsi="Arial" w:cs="Arial"/>
        </w:rPr>
        <w:t>3</w:t>
      </w:r>
      <w:r w:rsidR="00A376D5" w:rsidRPr="4A5201E7">
        <w:rPr>
          <w:rFonts w:ascii="Arial" w:hAnsi="Arial" w:cs="Arial"/>
        </w:rPr>
        <w:t xml:space="preserve"> </w:t>
      </w:r>
      <w:r w:rsidRPr="4A5201E7">
        <w:rPr>
          <w:rFonts w:ascii="Arial" w:hAnsi="Arial" w:cs="Arial"/>
        </w:rPr>
        <w:t xml:space="preserve">nie wydatkowano by środków polityki spójności i innych funduszy UE w polskiej gospodarce, a przebieg zmiennych makroekonomiczny byłby inny niż w rzeczywistości. Zakłada się symulację (obok </w:t>
      </w:r>
      <w:r w:rsidR="00A376D5">
        <w:rPr>
          <w:rFonts w:ascii="Arial" w:hAnsi="Arial" w:cs="Arial"/>
        </w:rPr>
        <w:t xml:space="preserve">scenariusza referencyjnego - </w:t>
      </w:r>
      <w:r w:rsidRPr="4A5201E7">
        <w:rPr>
          <w:rFonts w:ascii="Arial" w:hAnsi="Arial" w:cs="Arial"/>
        </w:rPr>
        <w:t>BAU) czterech takich scenariuszy kontrfaktycznych tj. (I) „bez polityki spójności”, (II)</w:t>
      </w:r>
      <w:r w:rsidR="510A6450" w:rsidRPr="4A5201E7">
        <w:rPr>
          <w:rFonts w:ascii="Arial" w:hAnsi="Arial" w:cs="Arial"/>
        </w:rPr>
        <w:t> </w:t>
      </w:r>
      <w:r w:rsidRPr="4A5201E7">
        <w:rPr>
          <w:rFonts w:ascii="Arial" w:hAnsi="Arial" w:cs="Arial"/>
        </w:rPr>
        <w:t xml:space="preserve">bez PROW (III) bez KPO oraz (IV) bez polityki spójności, PROW i KPO razem. Różnica między danym scenariuszem kontrfaktycznym a scenariuszem referencyjnym obrazuje </w:t>
      </w:r>
      <w:r w:rsidRPr="4A5201E7">
        <w:rPr>
          <w:rFonts w:ascii="Arial" w:hAnsi="Arial" w:cs="Arial"/>
          <w:b/>
          <w:bCs/>
        </w:rPr>
        <w:t>efekt interwencji</w:t>
      </w:r>
      <w:r w:rsidRPr="4A5201E7">
        <w:rPr>
          <w:rFonts w:ascii="Arial" w:hAnsi="Arial" w:cs="Arial"/>
        </w:rPr>
        <w:t xml:space="preserve">. Zakładamy, że wyniki symulacji prezentowane będą jako </w:t>
      </w:r>
      <w:r w:rsidRPr="4A5201E7">
        <w:rPr>
          <w:rFonts w:ascii="Arial" w:hAnsi="Arial" w:cs="Arial"/>
          <w:b/>
          <w:bCs/>
        </w:rPr>
        <w:t>odchylenie od scenariusza bazowego</w:t>
      </w:r>
      <w:r w:rsidRPr="4A5201E7">
        <w:rPr>
          <w:rFonts w:ascii="Arial" w:hAnsi="Arial" w:cs="Arial"/>
        </w:rPr>
        <w:t xml:space="preserve"> (w</w:t>
      </w:r>
      <w:r w:rsidR="355C68BD" w:rsidRPr="4A5201E7">
        <w:rPr>
          <w:rFonts w:ascii="Arial" w:hAnsi="Arial" w:cs="Arial"/>
        </w:rPr>
        <w:t> </w:t>
      </w:r>
      <w:r w:rsidRPr="4A5201E7">
        <w:rPr>
          <w:rFonts w:ascii="Arial" w:hAnsi="Arial" w:cs="Arial"/>
        </w:rPr>
        <w:t>%) i</w:t>
      </w:r>
      <w:r w:rsidR="510A6450" w:rsidRPr="4A5201E7">
        <w:rPr>
          <w:rFonts w:ascii="Arial" w:hAnsi="Arial" w:cs="Arial"/>
        </w:rPr>
        <w:t> </w:t>
      </w:r>
      <w:r w:rsidRPr="4A5201E7">
        <w:rPr>
          <w:rFonts w:ascii="Arial" w:hAnsi="Arial" w:cs="Arial"/>
          <w:b/>
          <w:bCs/>
        </w:rPr>
        <w:t>w</w:t>
      </w:r>
      <w:r w:rsidR="510A6450" w:rsidRPr="4A5201E7">
        <w:rPr>
          <w:rFonts w:ascii="Arial" w:hAnsi="Arial" w:cs="Arial"/>
          <w:b/>
          <w:bCs/>
        </w:rPr>
        <w:t> </w:t>
      </w:r>
      <w:r w:rsidRPr="4A5201E7">
        <w:rPr>
          <w:rFonts w:ascii="Arial" w:hAnsi="Arial" w:cs="Arial"/>
          <w:b/>
          <w:bCs/>
        </w:rPr>
        <w:t>przeliczeniu na jednostki</w:t>
      </w:r>
      <w:r w:rsidRPr="4A5201E7">
        <w:rPr>
          <w:rFonts w:ascii="Arial" w:hAnsi="Arial" w:cs="Arial"/>
        </w:rPr>
        <w:t xml:space="preserve"> </w:t>
      </w:r>
      <w:r w:rsidRPr="4A5201E7">
        <w:rPr>
          <w:rFonts w:ascii="Arial" w:hAnsi="Arial" w:cs="Arial"/>
          <w:b/>
          <w:bCs/>
        </w:rPr>
        <w:t>naturalne</w:t>
      </w:r>
      <w:r w:rsidRPr="4A5201E7">
        <w:rPr>
          <w:rFonts w:ascii="Arial" w:hAnsi="Arial" w:cs="Arial"/>
        </w:rPr>
        <w:t xml:space="preserve"> (np. mld</w:t>
      </w:r>
      <w:r w:rsidR="7AED7C94" w:rsidRPr="4A5201E7">
        <w:rPr>
          <w:rFonts w:ascii="Arial" w:hAnsi="Arial" w:cs="Arial"/>
        </w:rPr>
        <w:t xml:space="preserve"> PLN</w:t>
      </w:r>
      <w:r w:rsidRPr="4A5201E7">
        <w:rPr>
          <w:rFonts w:ascii="Arial" w:hAnsi="Arial" w:cs="Arial"/>
        </w:rPr>
        <w:t xml:space="preserve">, tys. osób itp.). </w:t>
      </w:r>
      <w:bookmarkEnd w:id="22"/>
    </w:p>
    <w:p w14:paraId="2D05396B" w14:textId="12FA09A6" w:rsidR="00C247BC" w:rsidRPr="005C3719" w:rsidRDefault="00E906E3" w:rsidP="00917386">
      <w:pPr>
        <w:spacing w:after="120" w:line="276" w:lineRule="auto"/>
        <w:jc w:val="left"/>
        <w:rPr>
          <w:rFonts w:ascii="Arial" w:hAnsi="Arial" w:cs="Arial"/>
        </w:rPr>
      </w:pPr>
      <w:r w:rsidRPr="005C3719">
        <w:rPr>
          <w:rFonts w:ascii="Arial" w:hAnsi="Arial" w:cs="Arial"/>
        </w:rPr>
        <w:t>Badanie obejmie analizę wpływu całości środków polityki spójności od momentu wejścia Polski do UE na wybrane wskaźniki, analizę wpływu całości środków PROW od momentu wejścia Polski do UE na wybrane wskaźniki, analizę wpływu całości środków KPO (wg prognozy na lata 2023-2026) na wybrane wskaźniki oraz analizę łącznego wpływu wszystkich trzech (polityka spójności, PROW, KPO) instrumentów na wybrane wskaźniki z uwzględnieniem efektów pośrednich. Zakres czasowy badania obejmuje szacowanie efektów dla poszczególnych lat okresu 2004-2033, na podstawie danych o</w:t>
      </w:r>
      <w:r w:rsidR="00544500" w:rsidRPr="005C3719">
        <w:rPr>
          <w:rFonts w:ascii="Arial" w:hAnsi="Arial" w:cs="Arial"/>
        </w:rPr>
        <w:t> </w:t>
      </w:r>
      <w:r w:rsidRPr="005C3719">
        <w:rPr>
          <w:rFonts w:ascii="Arial" w:hAnsi="Arial" w:cs="Arial"/>
        </w:rPr>
        <w:t>faktycznie zrealizowanych i prognozowanych płatnościach w tym okresie.</w:t>
      </w:r>
      <w:r w:rsidR="00C247BC" w:rsidRPr="005C3719">
        <w:rPr>
          <w:rFonts w:ascii="Arial" w:hAnsi="Arial" w:cs="Arial"/>
        </w:rPr>
        <w:br w:type="page"/>
      </w:r>
    </w:p>
    <w:p w14:paraId="79370BA6" w14:textId="7169955E" w:rsidR="00C74B6F" w:rsidRPr="00917386" w:rsidRDefault="00C247BC" w:rsidP="00917386">
      <w:pPr>
        <w:pStyle w:val="Styl1"/>
        <w:jc w:val="left"/>
        <w:rPr>
          <w:color w:val="3C3C3C"/>
        </w:rPr>
      </w:pPr>
      <w:bookmarkStart w:id="23" w:name="_Toc176241619"/>
      <w:bookmarkEnd w:id="17"/>
      <w:r w:rsidRPr="00917386">
        <w:rPr>
          <w:color w:val="3C3C3C"/>
        </w:rPr>
        <w:lastRenderedPageBreak/>
        <w:t>Wydatkowanie funduszy UE</w:t>
      </w:r>
      <w:bookmarkEnd w:id="23"/>
    </w:p>
    <w:p w14:paraId="7A55B4D1" w14:textId="551F81A4" w:rsidR="00A375CF" w:rsidRPr="005C3719" w:rsidRDefault="00BB6468" w:rsidP="00917386">
      <w:pPr>
        <w:spacing w:after="120" w:line="276" w:lineRule="auto"/>
        <w:jc w:val="left"/>
        <w:rPr>
          <w:rFonts w:ascii="Arial" w:hAnsi="Arial" w:cs="Arial"/>
        </w:rPr>
      </w:pPr>
      <w:bookmarkStart w:id="24" w:name="_Hlk135927914"/>
      <w:bookmarkEnd w:id="13"/>
      <w:bookmarkEnd w:id="14"/>
      <w:r w:rsidRPr="39B74B15">
        <w:rPr>
          <w:rFonts w:ascii="Arial" w:hAnsi="Arial" w:cs="Arial"/>
        </w:rPr>
        <w:t>Analiza wpływu funduszy europejskich na polską gospodarkę przedstawiona w raporcie opiera się na danych dostarczonych przez Ministerstwo Funduszy i Polityki Regionalnej. Dane te obejmują wszystkie realizowane w przeszłości perspektywy finansowe: Narodowy Plan Rozwoju 2004-2006, Narodową Strategię Spójności 2007-2013 oraz Umowę Partnerstwa 2014-2020. Ponadto analiza uwzględnia Umowę Partnerstwa 2021-2027, a także Krajowy Plan Odbudowy przewidziany do realizacji w latach 2023-2026. W ich przypadku dane dostarczone przez MFiPR przedstawiają prognozę wydatkowania, która obejmuje także tę część środków UP 2014-2020, która nie została wydana i rozliczona do końca roku 2023. Kwoty przypisane NPR 2004-2006 obejmują środki Polityki Spójności wydatkowane w tym okresie, natomiast wydatki NSS 2007-2013, UP 2014-2020 oraz UP 2021-2027, obok wydatków na Politykę Spójności, uwzględniają także podobne środki Programu Rozwoju Obszarów Wiejskich.</w:t>
      </w:r>
    </w:p>
    <w:p w14:paraId="3CA5261B" w14:textId="0DD757E8" w:rsidR="002A5305" w:rsidRPr="00785460" w:rsidRDefault="00A375CF" w:rsidP="00F15187">
      <w:pPr>
        <w:pStyle w:val="Legenda"/>
      </w:pPr>
      <w:bookmarkStart w:id="25" w:name="_Toc173834310"/>
      <w:bookmarkEnd w:id="24"/>
      <w:r w:rsidRPr="00785460">
        <w:t xml:space="preserve">Wykres </w:t>
      </w:r>
      <w:fldSimple w:instr=" SEQ Wykres \* ARABIC ">
        <w:r w:rsidR="009962A2">
          <w:rPr>
            <w:noProof/>
          </w:rPr>
          <w:t>1</w:t>
        </w:r>
      </w:fldSimple>
      <w:r w:rsidRPr="00785460">
        <w:rPr>
          <w:noProof/>
        </w:rPr>
        <w:t>.</w:t>
      </w:r>
      <w:r w:rsidRPr="00785460">
        <w:t xml:space="preserve"> Struktura funduszy UE wydatkowanych w latach 2004-2029 wg perspektyw finansowych</w:t>
      </w:r>
      <w:bookmarkEnd w:id="25"/>
    </w:p>
    <w:p w14:paraId="18B82AA0" w14:textId="0BF5532C" w:rsidR="00A375CF" w:rsidRDefault="0015514F" w:rsidP="00917386">
      <w:pPr>
        <w:spacing w:after="0"/>
        <w:jc w:val="left"/>
        <w:rPr>
          <w:rFonts w:asciiTheme="minorHAnsi" w:hAnsiTheme="minorHAnsi" w:cstheme="minorHAnsi"/>
          <w:sz w:val="22"/>
          <w:szCs w:val="22"/>
        </w:rPr>
      </w:pPr>
      <w:r w:rsidRPr="0015514F">
        <w:rPr>
          <w:noProof/>
        </w:rPr>
        <w:drawing>
          <wp:inline distT="0" distB="0" distL="0" distR="0" wp14:anchorId="4E8F1123" wp14:editId="4AD83250">
            <wp:extent cx="5759450" cy="3034665"/>
            <wp:effectExtent l="0" t="0" r="0" b="0"/>
            <wp:docPr id="35268757" name="Obraz 13" descr="Wykres 1. Struktura funduszy UE wydatkowanych w latach 2004-2029 wg perspektyw finansowy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68757" name="Obraz 13" descr="Wykres 1. Struktura funduszy UE wydatkowanych w latach 2004-2029 wg perspektyw finansowych"/>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59450" cy="3034665"/>
                    </a:xfrm>
                    <a:prstGeom prst="rect">
                      <a:avLst/>
                    </a:prstGeom>
                    <a:noFill/>
                    <a:ln>
                      <a:noFill/>
                    </a:ln>
                  </pic:spPr>
                </pic:pic>
              </a:graphicData>
            </a:graphic>
          </wp:inline>
        </w:drawing>
      </w:r>
    </w:p>
    <w:p w14:paraId="4388136E" w14:textId="368E6A29" w:rsidR="00A375CF" w:rsidRPr="00785460" w:rsidRDefault="00A375CF" w:rsidP="00917386">
      <w:pPr>
        <w:spacing w:after="240" w:line="276" w:lineRule="auto"/>
        <w:jc w:val="left"/>
        <w:rPr>
          <w:rFonts w:ascii="Arial" w:hAnsi="Arial" w:cs="Arial"/>
          <w:i/>
          <w:iCs/>
        </w:rPr>
      </w:pPr>
      <w:r w:rsidRPr="00785460">
        <w:rPr>
          <w:rFonts w:ascii="Arial" w:hAnsi="Arial" w:cs="Arial"/>
          <w:i/>
          <w:iCs/>
        </w:rPr>
        <w:t>Źródło: opracowanie własne na podstawie danych MFiPR.</w:t>
      </w:r>
    </w:p>
    <w:p w14:paraId="0FC605CE" w14:textId="2DC6B968" w:rsidR="00BB6468" w:rsidRPr="00BB6468" w:rsidRDefault="00BB6468" w:rsidP="00917386">
      <w:pPr>
        <w:spacing w:after="120" w:line="276" w:lineRule="auto"/>
        <w:jc w:val="left"/>
        <w:rPr>
          <w:rFonts w:ascii="Arial" w:hAnsi="Arial" w:cs="Arial"/>
        </w:rPr>
      </w:pPr>
      <w:r w:rsidRPr="00BB6468">
        <w:rPr>
          <w:rFonts w:ascii="Arial" w:hAnsi="Arial" w:cs="Arial"/>
        </w:rPr>
        <w:t>W ramach każdej z wymienionych perspektyw finansowych wyodrębniono trzy typy (kategorie) wydatków: infrastrukturę podstawową (IP), bezpośrednie wsparcie przedsiębiorstw (BSP) oraz rozwój zasobów ludzkich (RZL). Do pierwszej z tych kategorii zaliczono wydatki na budowę infrastruktury transportowej, takiej jak drogi czy koleje, infrastruktury energetycznej, sieciowej (internet i</w:t>
      </w:r>
      <w:r w:rsidR="00EF4149">
        <w:rPr>
          <w:rFonts w:ascii="Arial" w:hAnsi="Arial" w:cs="Arial"/>
        </w:rPr>
        <w:t> </w:t>
      </w:r>
      <w:r w:rsidRPr="00BB6468">
        <w:rPr>
          <w:rFonts w:ascii="Arial" w:hAnsi="Arial" w:cs="Arial"/>
        </w:rPr>
        <w:t>telekomunikacja), ochrony środowiska oraz budynków i budowli (m.in. w ramach wsparcia turystyki, rewitalizacji czy infrastruktury społecznej). Do drugiej kategorii zaliczono subsydia, które trafiały do</w:t>
      </w:r>
      <w:r w:rsidR="00EF4149">
        <w:rPr>
          <w:rFonts w:ascii="Arial" w:hAnsi="Arial" w:cs="Arial"/>
        </w:rPr>
        <w:t> </w:t>
      </w:r>
      <w:r w:rsidRPr="00BB6468">
        <w:rPr>
          <w:rFonts w:ascii="Arial" w:hAnsi="Arial" w:cs="Arial"/>
        </w:rPr>
        <w:t>polskich firm jako współfinansowanie prowadzonych przez nie inwestycji modernizacyjnych, prac badawczo-rozwojowych lub innych działań, takich jak promocja eksportu i przedsiębiorczości. Do</w:t>
      </w:r>
      <w:r w:rsidR="00EF4149">
        <w:rPr>
          <w:rFonts w:ascii="Arial" w:hAnsi="Arial" w:cs="Arial"/>
        </w:rPr>
        <w:t> </w:t>
      </w:r>
      <w:r w:rsidRPr="00BB6468">
        <w:rPr>
          <w:rFonts w:ascii="Arial" w:hAnsi="Arial" w:cs="Arial"/>
        </w:rPr>
        <w:t>trzeciej kategorii zaliczono środki przeznaczone na podniesienie kapitału ludzkiego i zwiększenie zdolności adaptacyjnych przedsiębiorstw i ich pracowników, poprawę dostępu do zatrudnienia i jego trwałości, poprawę integracji społecznej oraz wsparcie reform rynku pracy (np. w ramach aktywności Publicznych Służb Zatrudnienia).</w:t>
      </w:r>
    </w:p>
    <w:p w14:paraId="79C841DF" w14:textId="52403641" w:rsidR="00F74864" w:rsidRPr="005C3719" w:rsidRDefault="00BB6468" w:rsidP="00917386">
      <w:pPr>
        <w:spacing w:after="120" w:line="276" w:lineRule="auto"/>
        <w:jc w:val="left"/>
        <w:rPr>
          <w:rFonts w:ascii="Arial" w:hAnsi="Arial" w:cs="Arial"/>
        </w:rPr>
      </w:pPr>
      <w:r w:rsidRPr="00BB6468">
        <w:rPr>
          <w:rFonts w:ascii="Arial" w:hAnsi="Arial" w:cs="Arial"/>
        </w:rPr>
        <w:t xml:space="preserve">Podział na IP, BSP i RZL został zastosowany do wszystkich wyróżnionych perspektyw finansowych – zarówno historycznych, jak i prognozowanych – a poszczególne kwoty zostały jednocześnie przypisane do jednego z 16 polskich województw. W analizowanym okresie </w:t>
      </w:r>
      <w:r w:rsidR="00A376D5">
        <w:rPr>
          <w:rFonts w:ascii="Arial" w:hAnsi="Arial" w:cs="Arial"/>
        </w:rPr>
        <w:t xml:space="preserve">– przy przejściowych wahaniach wynikających z pragmatyki wydatkowania kolejnych perspektyw finansowych - </w:t>
      </w:r>
      <w:r w:rsidRPr="00BB6468">
        <w:rPr>
          <w:rFonts w:ascii="Arial" w:hAnsi="Arial" w:cs="Arial"/>
        </w:rPr>
        <w:t xml:space="preserve">wsparcie z </w:t>
      </w:r>
      <w:r w:rsidRPr="00BB6468">
        <w:rPr>
          <w:rFonts w:ascii="Arial" w:hAnsi="Arial" w:cs="Arial"/>
        </w:rPr>
        <w:lastRenderedPageBreak/>
        <w:t xml:space="preserve">funduszy unijnych stopniowo wzrastało, </w:t>
      </w:r>
      <w:r w:rsidR="00A376D5">
        <w:rPr>
          <w:rFonts w:ascii="Arial" w:hAnsi="Arial" w:cs="Arial"/>
        </w:rPr>
        <w:t xml:space="preserve">przy czym najwyższą wartość </w:t>
      </w:r>
      <w:r w:rsidR="00A376D5" w:rsidRPr="00BB6468">
        <w:rPr>
          <w:rFonts w:ascii="Arial" w:hAnsi="Arial" w:cs="Arial"/>
        </w:rPr>
        <w:t>osiąg</w:t>
      </w:r>
      <w:r w:rsidR="00A376D5">
        <w:rPr>
          <w:rFonts w:ascii="Arial" w:hAnsi="Arial" w:cs="Arial"/>
        </w:rPr>
        <w:t>nąć ma</w:t>
      </w:r>
      <w:r w:rsidR="00A376D5" w:rsidRPr="00BB6468">
        <w:rPr>
          <w:rFonts w:ascii="Arial" w:hAnsi="Arial" w:cs="Arial"/>
        </w:rPr>
        <w:t xml:space="preserve"> </w:t>
      </w:r>
      <w:r w:rsidRPr="00BB6468">
        <w:rPr>
          <w:rFonts w:ascii="Arial" w:hAnsi="Arial" w:cs="Arial"/>
        </w:rPr>
        <w:t xml:space="preserve">w latach </w:t>
      </w:r>
      <w:r w:rsidR="00A376D5" w:rsidRPr="00BB6468">
        <w:rPr>
          <w:rFonts w:ascii="Arial" w:hAnsi="Arial" w:cs="Arial"/>
        </w:rPr>
        <w:t>202</w:t>
      </w:r>
      <w:r w:rsidR="00A376D5">
        <w:rPr>
          <w:rFonts w:ascii="Arial" w:hAnsi="Arial" w:cs="Arial"/>
        </w:rPr>
        <w:t>4</w:t>
      </w:r>
      <w:r w:rsidRPr="00BB6468">
        <w:rPr>
          <w:rFonts w:ascii="Arial" w:hAnsi="Arial" w:cs="Arial"/>
        </w:rPr>
        <w:t xml:space="preserve">-2026, kiedy </w:t>
      </w:r>
      <w:r w:rsidR="00A376D5">
        <w:rPr>
          <w:rFonts w:ascii="Arial" w:hAnsi="Arial" w:cs="Arial"/>
        </w:rPr>
        <w:t xml:space="preserve">ma </w:t>
      </w:r>
      <w:r w:rsidR="00A376D5" w:rsidRPr="00BB6468">
        <w:rPr>
          <w:rFonts w:ascii="Arial" w:hAnsi="Arial" w:cs="Arial"/>
        </w:rPr>
        <w:t>przekr</w:t>
      </w:r>
      <w:r w:rsidR="00A376D5">
        <w:rPr>
          <w:rFonts w:ascii="Arial" w:hAnsi="Arial" w:cs="Arial"/>
        </w:rPr>
        <w:t>oczyć</w:t>
      </w:r>
      <w:r w:rsidR="00A376D5" w:rsidRPr="00BB6468">
        <w:rPr>
          <w:rFonts w:ascii="Arial" w:hAnsi="Arial" w:cs="Arial"/>
        </w:rPr>
        <w:t xml:space="preserve"> </w:t>
      </w:r>
      <w:r w:rsidR="00A376D5">
        <w:rPr>
          <w:rFonts w:ascii="Arial" w:hAnsi="Arial" w:cs="Arial"/>
        </w:rPr>
        <w:t>13</w:t>
      </w:r>
      <w:r w:rsidR="00A376D5" w:rsidRPr="00BB6468">
        <w:rPr>
          <w:rFonts w:ascii="Arial" w:hAnsi="Arial" w:cs="Arial"/>
        </w:rPr>
        <w:t xml:space="preserve">0 </w:t>
      </w:r>
      <w:r w:rsidRPr="00BB6468">
        <w:rPr>
          <w:rFonts w:ascii="Arial" w:hAnsi="Arial" w:cs="Arial"/>
        </w:rPr>
        <w:t>mld PLN</w:t>
      </w:r>
      <w:r w:rsidR="00A376D5">
        <w:rPr>
          <w:rFonts w:ascii="Arial" w:hAnsi="Arial" w:cs="Arial"/>
        </w:rPr>
        <w:t xml:space="preserve"> średniorocznie w wyniku kumulacji środków Umowy Partnerstwa i Krajowego Planu Odbudowy</w:t>
      </w:r>
      <w:r w:rsidRPr="00BB6468">
        <w:rPr>
          <w:rFonts w:ascii="Arial" w:hAnsi="Arial" w:cs="Arial"/>
        </w:rPr>
        <w:t>. Jednocześnie polska gospodarka rosła w nominalnym tempie około 7% rocznie, przez co relacja środków UE do polskiego PKB osiągnęła swoje maksimum już dekadę wcześniej - w roku 2012 - przekraczając 3%.</w:t>
      </w:r>
      <w:r>
        <w:rPr>
          <w:rFonts w:ascii="Arial" w:hAnsi="Arial" w:cs="Arial"/>
        </w:rPr>
        <w:t xml:space="preserve"> </w:t>
      </w:r>
      <w:r w:rsidRPr="00BB6468">
        <w:rPr>
          <w:rFonts w:ascii="Arial" w:hAnsi="Arial" w:cs="Arial"/>
        </w:rPr>
        <w:t>Pomimo pewnych wahań związanych z nierównomiernym nakładaniem się na siebie poszczególnych perspektyw finansowych, główny strumień wsparcia z polityki spójności i innych pokrewnych instrumentów przypada na okres 2010-2026, w którym jego przeciętny wymiar sięga około 2,5% PKB. W symulacjach nie uwzględniono kolejnych możliwych perspektyw finansowych po roku 2027, przyjmując, że po roku 2026, wraz z wygasaniem UP 2021-2027 oraz KPO 2022-2026,</w:t>
      </w:r>
      <w:r w:rsidR="00A376D5">
        <w:rPr>
          <w:rFonts w:ascii="Arial" w:hAnsi="Arial" w:cs="Arial"/>
        </w:rPr>
        <w:t xml:space="preserve"> i jednoczesnym wzrostem nominalnego PKB</w:t>
      </w:r>
      <w:r w:rsidRPr="00BB6468">
        <w:rPr>
          <w:rFonts w:ascii="Arial" w:hAnsi="Arial" w:cs="Arial"/>
        </w:rPr>
        <w:t xml:space="preserve"> relatywne znaczenie środków UE dla polskiej gospodarki będzie maleć, osiągając w roku 2029 poziom około 1,</w:t>
      </w:r>
      <w:r w:rsidR="00A376D5">
        <w:rPr>
          <w:rFonts w:ascii="Arial" w:hAnsi="Arial" w:cs="Arial"/>
        </w:rPr>
        <w:t>7</w:t>
      </w:r>
      <w:r w:rsidRPr="00BB6468">
        <w:rPr>
          <w:rFonts w:ascii="Arial" w:hAnsi="Arial" w:cs="Arial"/>
        </w:rPr>
        <w:t>%</w:t>
      </w:r>
      <w:r w:rsidR="00A376D5">
        <w:rPr>
          <w:rFonts w:ascii="Arial" w:hAnsi="Arial" w:cs="Arial"/>
        </w:rPr>
        <w:t xml:space="preserve"> PKB</w:t>
      </w:r>
      <w:r w:rsidRPr="00BB6468">
        <w:rPr>
          <w:rFonts w:ascii="Arial" w:hAnsi="Arial" w:cs="Arial"/>
        </w:rPr>
        <w:t>. To założenie przekłada się na wygasanie zarówno popytowych, jak i podażowych efektów wsparcia po</w:t>
      </w:r>
      <w:r w:rsidR="00EF4149">
        <w:rPr>
          <w:rFonts w:ascii="Arial" w:hAnsi="Arial" w:cs="Arial"/>
        </w:rPr>
        <w:t> </w:t>
      </w:r>
      <w:r w:rsidRPr="00BB6468">
        <w:rPr>
          <w:rFonts w:ascii="Arial" w:hAnsi="Arial" w:cs="Arial"/>
        </w:rPr>
        <w:t xml:space="preserve">roku </w:t>
      </w:r>
      <w:r w:rsidRPr="76211117">
        <w:rPr>
          <w:rFonts w:ascii="Arial" w:hAnsi="Arial" w:cs="Arial"/>
        </w:rPr>
        <w:t>202</w:t>
      </w:r>
      <w:r w:rsidR="65804DE8" w:rsidRPr="76211117">
        <w:rPr>
          <w:rFonts w:ascii="Arial" w:hAnsi="Arial" w:cs="Arial"/>
        </w:rPr>
        <w:t>6</w:t>
      </w:r>
      <w:r w:rsidRPr="00BB6468">
        <w:rPr>
          <w:rFonts w:ascii="Arial" w:hAnsi="Arial" w:cs="Arial"/>
        </w:rPr>
        <w:t>.</w:t>
      </w:r>
    </w:p>
    <w:p w14:paraId="75BE0160" w14:textId="75DE02DE" w:rsidR="00F74864" w:rsidRPr="00785460" w:rsidRDefault="00F74864" w:rsidP="00F15187">
      <w:pPr>
        <w:pStyle w:val="Legenda"/>
        <w:rPr>
          <w:sz w:val="22"/>
          <w:szCs w:val="22"/>
        </w:rPr>
      </w:pPr>
      <w:bookmarkStart w:id="26" w:name="_Toc173834311"/>
      <w:r w:rsidRPr="00785460">
        <w:t xml:space="preserve">Wykres </w:t>
      </w:r>
      <w:fldSimple w:instr=" SEQ Wykres \* ARABIC ">
        <w:r w:rsidR="009962A2">
          <w:rPr>
            <w:noProof/>
          </w:rPr>
          <w:t>2</w:t>
        </w:r>
      </w:fldSimple>
      <w:r w:rsidRPr="00785460">
        <w:rPr>
          <w:noProof/>
        </w:rPr>
        <w:t>.</w:t>
      </w:r>
      <w:r w:rsidRPr="00785460">
        <w:t xml:space="preserve"> Struktura funduszy UE wydatkowanych w latach 2004-2029 wg typów wsparcia</w:t>
      </w:r>
      <w:bookmarkEnd w:id="26"/>
    </w:p>
    <w:p w14:paraId="1D58F695" w14:textId="21F4F4F1" w:rsidR="00231976" w:rsidRDefault="0015514F" w:rsidP="00917386">
      <w:pPr>
        <w:spacing w:after="0"/>
        <w:jc w:val="left"/>
        <w:rPr>
          <w:rFonts w:asciiTheme="minorHAnsi" w:hAnsiTheme="minorHAnsi" w:cstheme="minorHAnsi"/>
          <w:sz w:val="22"/>
          <w:szCs w:val="22"/>
        </w:rPr>
      </w:pPr>
      <w:r w:rsidRPr="0015514F">
        <w:rPr>
          <w:noProof/>
        </w:rPr>
        <w:drawing>
          <wp:inline distT="0" distB="0" distL="0" distR="0" wp14:anchorId="381B81A2" wp14:editId="1370D153">
            <wp:extent cx="5759450" cy="3288665"/>
            <wp:effectExtent l="0" t="0" r="0" b="0"/>
            <wp:docPr id="97668117" name="Obraz 15" descr="Wykres 2. Struktura funduszy UE wydatkowanych w latach 2004-2029 wg typów wspar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668117" name="Obraz 15" descr="Wykres 2. Struktura funduszy UE wydatkowanych w latach 2004-2029 wg typów wsparcia"/>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59450" cy="3288665"/>
                    </a:xfrm>
                    <a:prstGeom prst="rect">
                      <a:avLst/>
                    </a:prstGeom>
                    <a:noFill/>
                    <a:ln>
                      <a:noFill/>
                    </a:ln>
                  </pic:spPr>
                </pic:pic>
              </a:graphicData>
            </a:graphic>
          </wp:inline>
        </w:drawing>
      </w:r>
    </w:p>
    <w:p w14:paraId="675EAF6A" w14:textId="50636B62" w:rsidR="00F74864" w:rsidRPr="00785460" w:rsidRDefault="00F74864" w:rsidP="00917386">
      <w:pPr>
        <w:spacing w:after="240" w:line="276" w:lineRule="auto"/>
        <w:jc w:val="left"/>
        <w:rPr>
          <w:rFonts w:ascii="Arial" w:hAnsi="Arial" w:cs="Arial"/>
          <w:i/>
          <w:iCs/>
        </w:rPr>
      </w:pPr>
      <w:r w:rsidRPr="00785460">
        <w:rPr>
          <w:rFonts w:ascii="Arial" w:hAnsi="Arial" w:cs="Arial"/>
          <w:i/>
          <w:iCs/>
        </w:rPr>
        <w:t>Źródło: opracowanie własne na podstawie danych MFiPR.</w:t>
      </w:r>
    </w:p>
    <w:p w14:paraId="4113C8A7" w14:textId="71E0B4B9" w:rsidR="00BB6468" w:rsidRPr="00BB6468" w:rsidRDefault="00BB6468" w:rsidP="00917386">
      <w:pPr>
        <w:spacing w:after="120" w:line="276" w:lineRule="auto"/>
        <w:jc w:val="left"/>
        <w:rPr>
          <w:rFonts w:ascii="Arial" w:hAnsi="Arial" w:cs="Arial"/>
        </w:rPr>
      </w:pPr>
      <w:r w:rsidRPr="00BB6468">
        <w:rPr>
          <w:rFonts w:ascii="Arial" w:hAnsi="Arial" w:cs="Arial"/>
        </w:rPr>
        <w:t>Około 67% całej puli analizowanych środków przypada na infrastrukturę podstawową, na którą we</w:t>
      </w:r>
      <w:r w:rsidR="00EF4149">
        <w:rPr>
          <w:rFonts w:ascii="Arial" w:hAnsi="Arial" w:cs="Arial"/>
        </w:rPr>
        <w:t> </w:t>
      </w:r>
      <w:r w:rsidRPr="00BB6468">
        <w:rPr>
          <w:rFonts w:ascii="Arial" w:hAnsi="Arial" w:cs="Arial"/>
        </w:rPr>
        <w:t>wszystkich analizowanych perspektywach przeznaczono łącznie 896 mld PLN. Z pozostałych 37%, większość (18% całej puli lub 241 mld PLN) przypada na bezpośrednie wsparcie przedsiębiorstw, a mniejszość (15% lub 193 mld PLN) na rozwój zasobów ludzkich. Ekonomiczne znaczenie wszystkich tych kategorii wsparcia jest jednak do siebie zbliżone, ponieważ wszystkie one wspierają akumulację zasobów ważnych dla wzrostu produktywności gospodarki: infrastruktury transportowej i energetycznej, maszyn i urządzeń służących produkcji (kapitał fizyczny) oraz nabywaniu umiejętności podnoszących kompetencje pracowników i kadry zarządzającej firm (kapitał ludzki). Z tego względu można oczekiwać, że gospodarczy wpływ funduszy UE rozciąga się poza okres ich bezpośredniego wydatkowania, w</w:t>
      </w:r>
      <w:r w:rsidR="00EF4149">
        <w:rPr>
          <w:rFonts w:ascii="Arial" w:hAnsi="Arial" w:cs="Arial"/>
        </w:rPr>
        <w:t> </w:t>
      </w:r>
      <w:r w:rsidRPr="00BB6468">
        <w:rPr>
          <w:rFonts w:ascii="Arial" w:hAnsi="Arial" w:cs="Arial"/>
        </w:rPr>
        <w:t>wyniku oddziaływania na gospodarkę zakumulowanego wcześniej kapitału fizycznego lub ludzkiego. Ma to szczególne znaczenie dla tych regionów Polski, w których luka kapitałowa jest szczególnie wysoka, a więc przede wszystkim regionów Polski Wschodniej.</w:t>
      </w:r>
    </w:p>
    <w:p w14:paraId="61A9CDF3" w14:textId="2E09E6DE" w:rsidR="001C05C2" w:rsidRPr="005C3719" w:rsidRDefault="03F80E41" w:rsidP="00917386">
      <w:pPr>
        <w:spacing w:after="120" w:line="276" w:lineRule="auto"/>
        <w:jc w:val="left"/>
        <w:rPr>
          <w:rFonts w:ascii="Arial" w:hAnsi="Arial" w:cs="Arial"/>
          <w:sz w:val="18"/>
          <w:szCs w:val="18"/>
        </w:rPr>
      </w:pPr>
      <w:r w:rsidRPr="4A5201E7">
        <w:rPr>
          <w:rFonts w:ascii="Arial" w:hAnsi="Arial" w:cs="Arial"/>
        </w:rPr>
        <w:t>Potrzeba ta została dodatkowo odzwierciedlona w zróżnicowaniu skali wsparcia między poszczególnymi częściami kraju. Średni poziom wydatkowania środków UE w latach 2004-2029 w</w:t>
      </w:r>
      <w:r w:rsidR="00EF4149" w:rsidRPr="4A5201E7">
        <w:rPr>
          <w:rFonts w:ascii="Arial" w:hAnsi="Arial" w:cs="Arial"/>
        </w:rPr>
        <w:t> </w:t>
      </w:r>
      <w:r w:rsidRPr="4A5201E7">
        <w:rPr>
          <w:rFonts w:ascii="Arial" w:hAnsi="Arial" w:cs="Arial"/>
        </w:rPr>
        <w:t>województwach Polski Wschodniej wyniesie 3-4% regionalnego PKB</w:t>
      </w:r>
      <w:r w:rsidR="00A376D5">
        <w:rPr>
          <w:rFonts w:ascii="Arial" w:hAnsi="Arial" w:cs="Arial"/>
        </w:rPr>
        <w:t xml:space="preserve"> przy około 2% dla całego </w:t>
      </w:r>
      <w:r w:rsidR="00A376D5">
        <w:rPr>
          <w:rFonts w:ascii="Arial" w:hAnsi="Arial" w:cs="Arial"/>
        </w:rPr>
        <w:lastRenderedPageBreak/>
        <w:t>kraju</w:t>
      </w:r>
      <w:r w:rsidRPr="4A5201E7">
        <w:rPr>
          <w:rFonts w:ascii="Arial" w:hAnsi="Arial" w:cs="Arial"/>
        </w:rPr>
        <w:t>. W tym samym czasie w</w:t>
      </w:r>
      <w:r w:rsidR="00EF4149" w:rsidRPr="4A5201E7">
        <w:rPr>
          <w:rFonts w:ascii="Arial" w:hAnsi="Arial" w:cs="Arial"/>
        </w:rPr>
        <w:t> </w:t>
      </w:r>
      <w:r w:rsidRPr="4A5201E7">
        <w:rPr>
          <w:rFonts w:ascii="Arial" w:hAnsi="Arial" w:cs="Arial"/>
        </w:rPr>
        <w:t>najbogatszych regionach kraju, takich jak Mazowsze, Wielkopolska, Dolny i Górny Śląsk, wyniesie on około 1,3-1,7%, zaś w pozostałych województwach około 2-3% regionalnego produktu. Analogiczne – choć mniejsze – zróżnicowanie dotyczy wsparcia przeliczonego na jednego mieszkańca poszczególnych województw. Najwięcej (1551-1732 PLN średnio na mieszkańca w całym okresie na</w:t>
      </w:r>
      <w:r w:rsidR="00EF4149" w:rsidRPr="4A5201E7">
        <w:rPr>
          <w:rFonts w:ascii="Arial" w:hAnsi="Arial" w:cs="Arial"/>
        </w:rPr>
        <w:t> </w:t>
      </w:r>
      <w:r w:rsidRPr="4A5201E7">
        <w:rPr>
          <w:rFonts w:ascii="Arial" w:hAnsi="Arial" w:cs="Arial"/>
        </w:rPr>
        <w:t xml:space="preserve">rok) środków UE otrzymują mieszkańcy województw Polski Wschodniej, na czele z warmińsko-mazurskim. Najmniej mieszkańcy Polski zachodniej, przede wszystkim Wielkopolski (1107 PLN na rok na mieszkańca), </w:t>
      </w:r>
      <w:r w:rsidR="694CB253" w:rsidRPr="4A5201E7">
        <w:rPr>
          <w:rFonts w:ascii="Arial" w:hAnsi="Arial" w:cs="Arial"/>
        </w:rPr>
        <w:t>o</w:t>
      </w:r>
      <w:r w:rsidRPr="4A5201E7">
        <w:rPr>
          <w:rFonts w:ascii="Arial" w:hAnsi="Arial" w:cs="Arial"/>
        </w:rPr>
        <w:t>polskiego (1299 PLN na rok na mieszkańca) i Dolnego Śląska (1289 PLN na rok na mieszkańca), południowej (Małopolska 1233 PLN) i centralnej (</w:t>
      </w:r>
      <w:r w:rsidR="35E91F33" w:rsidRPr="4A5201E7">
        <w:rPr>
          <w:rFonts w:ascii="Arial" w:hAnsi="Arial" w:cs="Arial"/>
        </w:rPr>
        <w:t>m</w:t>
      </w:r>
      <w:r w:rsidRPr="4A5201E7">
        <w:rPr>
          <w:rFonts w:ascii="Arial" w:hAnsi="Arial" w:cs="Arial"/>
        </w:rPr>
        <w:t>azowieckie – 1446 PLN na rok na mieszkańca).</w:t>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0"/>
        <w:gridCol w:w="4430"/>
      </w:tblGrid>
      <w:tr w:rsidR="00016140" w14:paraId="3C71AF6A" w14:textId="77777777" w:rsidTr="00917386">
        <w:tc>
          <w:tcPr>
            <w:tcW w:w="4640" w:type="dxa"/>
          </w:tcPr>
          <w:p w14:paraId="158842BF" w14:textId="23B3E2E5" w:rsidR="00C41CD1" w:rsidRPr="00785460" w:rsidRDefault="00C41CD1" w:rsidP="00F15187">
            <w:pPr>
              <w:pStyle w:val="Legenda"/>
            </w:pPr>
            <w:bookmarkStart w:id="27" w:name="_Toc173834343"/>
            <w:r w:rsidRPr="00785460">
              <w:t xml:space="preserve">Mapa </w:t>
            </w:r>
            <w:r>
              <w:fldChar w:fldCharType="begin"/>
            </w:r>
            <w:r>
              <w:instrText>SEQ Mapa \* ARABIC</w:instrText>
            </w:r>
            <w:r>
              <w:fldChar w:fldCharType="separate"/>
            </w:r>
            <w:r w:rsidR="009962A2">
              <w:rPr>
                <w:noProof/>
              </w:rPr>
              <w:t>1</w:t>
            </w:r>
            <w:r>
              <w:fldChar w:fldCharType="end"/>
            </w:r>
            <w:r w:rsidRPr="00785460">
              <w:t>. Udział funduszy UE w PKB województw w latach 2004-2029</w:t>
            </w:r>
            <w:bookmarkEnd w:id="27"/>
          </w:p>
        </w:tc>
        <w:tc>
          <w:tcPr>
            <w:tcW w:w="4430" w:type="dxa"/>
          </w:tcPr>
          <w:p w14:paraId="640F5D0D" w14:textId="3F634A33" w:rsidR="00C41CD1" w:rsidRPr="00785460" w:rsidRDefault="00C41CD1" w:rsidP="00F15187">
            <w:pPr>
              <w:pStyle w:val="Legenda"/>
            </w:pPr>
            <w:bookmarkStart w:id="28" w:name="_Toc173834312"/>
            <w:r w:rsidRPr="00785460">
              <w:t xml:space="preserve">Wykres </w:t>
            </w:r>
            <w:r>
              <w:fldChar w:fldCharType="begin"/>
            </w:r>
            <w:r>
              <w:instrText>SEQ Wykres \* ARABIC</w:instrText>
            </w:r>
            <w:r>
              <w:fldChar w:fldCharType="separate"/>
            </w:r>
            <w:r w:rsidR="009962A2">
              <w:rPr>
                <w:noProof/>
              </w:rPr>
              <w:t>3</w:t>
            </w:r>
            <w:r>
              <w:fldChar w:fldCharType="end"/>
            </w:r>
            <w:r w:rsidRPr="00785460">
              <w:t>.Udział funduszy UE w PKB województw w latach 2004-2029</w:t>
            </w:r>
            <w:bookmarkEnd w:id="28"/>
          </w:p>
        </w:tc>
      </w:tr>
      <w:tr w:rsidR="00C247BC" w14:paraId="38C5BD85" w14:textId="77777777" w:rsidTr="00917386">
        <w:tc>
          <w:tcPr>
            <w:tcW w:w="4640" w:type="dxa"/>
          </w:tcPr>
          <w:p w14:paraId="70633A5D" w14:textId="36CE6C26" w:rsidR="00C247BC" w:rsidRDefault="00D444D6" w:rsidP="00F15187">
            <w:pPr>
              <w:spacing w:after="0"/>
              <w:jc w:val="left"/>
              <w:rPr>
                <w:rFonts w:asciiTheme="minorHAnsi" w:hAnsiTheme="minorHAnsi" w:cstheme="minorHAnsi"/>
              </w:rPr>
            </w:pPr>
            <w:r w:rsidRPr="00D444D6">
              <w:rPr>
                <w:rFonts w:asciiTheme="minorHAnsi" w:hAnsiTheme="minorHAnsi" w:cstheme="minorHAnsi"/>
                <w:noProof/>
              </w:rPr>
              <w:drawing>
                <wp:inline distT="0" distB="0" distL="0" distR="0" wp14:anchorId="46132EDE" wp14:editId="007F520E">
                  <wp:extent cx="2762250" cy="2965249"/>
                  <wp:effectExtent l="0" t="0" r="0" b="0"/>
                  <wp:docPr id="376677536" name="Obraz 12" descr="Mapa 1. Udział funduszy UE w PKB województw w latach 2004-2029 Wykres 3.Udział funduszy UE w PKB województw w latach 2004-2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677536" name="Obraz 12" descr="Mapa 1. Udział funduszy UE w PKB województw w latach 2004-2029 Wykres 3.Udział funduszy UE w PKB województw w latach 2004-202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69796" cy="2973349"/>
                          </a:xfrm>
                          <a:prstGeom prst="rect">
                            <a:avLst/>
                          </a:prstGeom>
                          <a:noFill/>
                          <a:ln>
                            <a:noFill/>
                          </a:ln>
                        </pic:spPr>
                      </pic:pic>
                    </a:graphicData>
                  </a:graphic>
                </wp:inline>
              </w:drawing>
            </w:r>
          </w:p>
        </w:tc>
        <w:tc>
          <w:tcPr>
            <w:tcW w:w="4430" w:type="dxa"/>
          </w:tcPr>
          <w:p w14:paraId="29C2FF38" w14:textId="02B8F2D8" w:rsidR="00C247BC" w:rsidRDefault="00016140" w:rsidP="00F15187">
            <w:pPr>
              <w:spacing w:after="0"/>
              <w:jc w:val="left"/>
              <w:rPr>
                <w:rFonts w:asciiTheme="minorHAnsi" w:hAnsiTheme="minorHAnsi" w:cstheme="minorHAnsi"/>
              </w:rPr>
            </w:pPr>
            <w:r w:rsidRPr="00016140">
              <w:rPr>
                <w:rFonts w:asciiTheme="minorHAnsi" w:hAnsiTheme="minorHAnsi" w:cstheme="minorHAnsi"/>
                <w:noProof/>
              </w:rPr>
              <w:drawing>
                <wp:inline distT="0" distB="0" distL="0" distR="0" wp14:anchorId="48DA6100" wp14:editId="03FD06AB">
                  <wp:extent cx="2675942" cy="2771775"/>
                  <wp:effectExtent l="0" t="0" r="0" b="0"/>
                  <wp:docPr id="1108288403" name="Obraz 18" descr="Wykres 3.Udział funduszy UE w PKB województw w latach 2004-2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8288403" name="Obraz 18" descr="Wykres 3.Udział funduszy UE w PKB województw w latach 2004-202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678064" cy="2773973"/>
                          </a:xfrm>
                          <a:prstGeom prst="rect">
                            <a:avLst/>
                          </a:prstGeom>
                          <a:noFill/>
                          <a:ln>
                            <a:noFill/>
                          </a:ln>
                        </pic:spPr>
                      </pic:pic>
                    </a:graphicData>
                  </a:graphic>
                </wp:inline>
              </w:drawing>
            </w:r>
          </w:p>
        </w:tc>
      </w:tr>
      <w:tr w:rsidR="000F3F4B" w:rsidRPr="00785460" w14:paraId="5DEF3854" w14:textId="77777777" w:rsidTr="000F3F4B">
        <w:tc>
          <w:tcPr>
            <w:tcW w:w="4640" w:type="dxa"/>
          </w:tcPr>
          <w:p w14:paraId="233F297F" w14:textId="77777777" w:rsidR="000F3F4B" w:rsidRPr="00785460" w:rsidRDefault="000F3F4B" w:rsidP="00F15187">
            <w:pPr>
              <w:spacing w:after="240" w:line="276" w:lineRule="auto"/>
              <w:jc w:val="left"/>
              <w:rPr>
                <w:rFonts w:ascii="Arial" w:hAnsi="Arial" w:cs="Arial"/>
                <w:i/>
                <w:iCs/>
              </w:rPr>
            </w:pPr>
            <w:r w:rsidRPr="00785460">
              <w:rPr>
                <w:rFonts w:ascii="Arial" w:hAnsi="Arial" w:cs="Arial"/>
                <w:i/>
                <w:iCs/>
              </w:rPr>
              <w:t>Źródło: opracowanie własne na podstawie symulacji modelu VESPA.</w:t>
            </w:r>
          </w:p>
        </w:tc>
        <w:tc>
          <w:tcPr>
            <w:tcW w:w="4430" w:type="dxa"/>
          </w:tcPr>
          <w:p w14:paraId="4927A5A2" w14:textId="77777777" w:rsidR="000F3F4B" w:rsidRPr="00785460" w:rsidRDefault="000F3F4B" w:rsidP="00F15187">
            <w:pPr>
              <w:spacing w:after="240" w:line="276" w:lineRule="auto"/>
              <w:jc w:val="left"/>
              <w:rPr>
                <w:rFonts w:ascii="Arial" w:hAnsi="Arial" w:cs="Arial"/>
                <w:i/>
                <w:iCs/>
              </w:rPr>
            </w:pPr>
            <w:r w:rsidRPr="00785460">
              <w:rPr>
                <w:rFonts w:ascii="Arial" w:hAnsi="Arial" w:cs="Arial"/>
                <w:i/>
                <w:iCs/>
              </w:rPr>
              <w:t>Źródło: opracowanie własne na podstawie symulacji modelu VESPA.</w:t>
            </w:r>
          </w:p>
        </w:tc>
      </w:tr>
    </w:tbl>
    <w:p w14:paraId="2553C138" w14:textId="3C794BD2" w:rsidR="006C0A87" w:rsidRPr="00471B0B" w:rsidRDefault="00804010" w:rsidP="00917386">
      <w:pPr>
        <w:pStyle w:val="Styl2"/>
        <w:jc w:val="left"/>
      </w:pPr>
      <w:bookmarkStart w:id="29" w:name="_Toc494086933"/>
      <w:bookmarkStart w:id="30" w:name="_Toc176241620"/>
      <w:r>
        <w:t>Wyniki badania</w:t>
      </w:r>
      <w:bookmarkEnd w:id="29"/>
      <w:r w:rsidR="004D4A84">
        <w:t xml:space="preserve"> – z uwzględnieniem poziomu krajowego oraz regionalnego</w:t>
      </w:r>
      <w:bookmarkEnd w:id="30"/>
    </w:p>
    <w:p w14:paraId="192837BF" w14:textId="084AE171" w:rsidR="00D94F58" w:rsidRPr="00917386" w:rsidRDefault="00B56B68" w:rsidP="00917386">
      <w:pPr>
        <w:pStyle w:val="Styl1"/>
        <w:jc w:val="left"/>
        <w:rPr>
          <w:color w:val="3C3C3C"/>
        </w:rPr>
      </w:pPr>
      <w:bookmarkStart w:id="31" w:name="_Toc479331458"/>
      <w:bookmarkStart w:id="32" w:name="_Toc479331866"/>
      <w:bookmarkStart w:id="33" w:name="_Toc479333821"/>
      <w:bookmarkStart w:id="34" w:name="_Toc479334484"/>
      <w:bookmarkStart w:id="35" w:name="_Toc479334919"/>
      <w:bookmarkStart w:id="36" w:name="_Toc479342679"/>
      <w:bookmarkStart w:id="37" w:name="_Toc479343945"/>
      <w:bookmarkStart w:id="38" w:name="_Toc479346123"/>
      <w:bookmarkStart w:id="39" w:name="_Toc479346284"/>
      <w:bookmarkStart w:id="40" w:name="_Toc479346443"/>
      <w:bookmarkStart w:id="41" w:name="_Toc479346689"/>
      <w:bookmarkStart w:id="42" w:name="_Toc479326065"/>
      <w:bookmarkStart w:id="43" w:name="_Toc479326170"/>
      <w:bookmarkStart w:id="44" w:name="_Toc176241621"/>
      <w:bookmarkEnd w:id="31"/>
      <w:bookmarkEnd w:id="32"/>
      <w:bookmarkEnd w:id="33"/>
      <w:bookmarkEnd w:id="34"/>
      <w:bookmarkEnd w:id="35"/>
      <w:bookmarkEnd w:id="36"/>
      <w:bookmarkEnd w:id="37"/>
      <w:bookmarkEnd w:id="38"/>
      <w:bookmarkEnd w:id="39"/>
      <w:bookmarkEnd w:id="40"/>
      <w:bookmarkEnd w:id="41"/>
      <w:r w:rsidRPr="00917386">
        <w:rPr>
          <w:color w:val="3C3C3C"/>
        </w:rPr>
        <w:t xml:space="preserve">Wpływ na </w:t>
      </w:r>
      <w:bookmarkEnd w:id="42"/>
      <w:bookmarkEnd w:id="43"/>
      <w:r w:rsidR="00053FF4" w:rsidRPr="00917386">
        <w:rPr>
          <w:color w:val="3C3C3C"/>
        </w:rPr>
        <w:t>PKB</w:t>
      </w:r>
      <w:bookmarkEnd w:id="44"/>
    </w:p>
    <w:p w14:paraId="74003F57" w14:textId="5E01B177" w:rsidR="003C4F0E" w:rsidRPr="005C3719" w:rsidRDefault="00795065" w:rsidP="00917386">
      <w:pPr>
        <w:spacing w:after="120" w:line="276" w:lineRule="auto"/>
        <w:jc w:val="left"/>
        <w:rPr>
          <w:rFonts w:ascii="Arial" w:hAnsi="Arial" w:cs="Arial"/>
        </w:rPr>
      </w:pPr>
      <w:r w:rsidRPr="00795065">
        <w:rPr>
          <w:rFonts w:ascii="Arial" w:hAnsi="Arial" w:cs="Arial"/>
        </w:rPr>
        <w:t>Symulacje przeprowadzone za pomocą modelu VESPA wykazały, że w całym analizowanym okresie polski produkt krajowy brutto (PKB) był średnio o prawie 4% wyższy niż byłby, gdyby Polska nie otrzymywała wsparcia z funduszy UE. Szacujemy, że w latach 2004-2013 różnica między faktycznym PKB a hipotetycznym scenariuszem „bez funduszy” stopniowo rosła, osiągając szczyt w 2014 roku na poziomie 6,7%. Z powodu stopniowego wygaśnięcia NSS 2007-2013 oraz opóźnionego uruchamiania UP 2014-2020, część efektów popytowych związanych z wydatkowaniem środków UE zanikła, a</w:t>
      </w:r>
      <w:r w:rsidR="00EF4149">
        <w:rPr>
          <w:rFonts w:ascii="Arial" w:hAnsi="Arial" w:cs="Arial"/>
        </w:rPr>
        <w:t> </w:t>
      </w:r>
      <w:r w:rsidRPr="00795065">
        <w:rPr>
          <w:rFonts w:ascii="Arial" w:hAnsi="Arial" w:cs="Arial"/>
        </w:rPr>
        <w:t xml:space="preserve">dodatni wpływ funduszy UE na polski PKB zmniejszył się do około 3,8% w 2019 roku. Spodziewany jest szybki wzrost wolumenu wsparcia po 2023 roku, co powinno umożliwić ponowne odchylenie obserwowanej ścieżki wzrostu gospodarczego od scenariusza „bez funduszy” nawet do poziomu około 6,8% w latach 2026-2027, co będzie wynikiem kumulacji wydatkowania środków KPO i UP 2021-2027. W kolejnych latach spodziewamy się jednak stopniowego spadku relatywnego znaczenia funduszy UE dla krajowego PKB, ze względu na malejący ich udział w gospodarce. Będzie to </w:t>
      </w:r>
      <w:r w:rsidRPr="00795065">
        <w:rPr>
          <w:rFonts w:ascii="Arial" w:hAnsi="Arial" w:cs="Arial"/>
        </w:rPr>
        <w:lastRenderedPageBreak/>
        <w:t>oznaczać stopniowe zanikanie efektów popytowych pozwalających na uzyskanie wyższego produktu dzięki ekspansji fiskalnej typu keynesowskiego, a także efektów podażowych wraz z amortyzacją zakumulowanego kapitału fizycznego i ludzkiego. Ponieważ większość wsparcia jest skierowana na cele bezpośrednio lub pośrednio związane z budową dodatkowych możliwości produkcyjnych w polskiej gospodarce, spodziewamy się jednak, że nawet kilka lat po zakończeniu wydatkowania środków UE z KPO i</w:t>
      </w:r>
      <w:r w:rsidR="00EF4149">
        <w:rPr>
          <w:rFonts w:ascii="Arial" w:hAnsi="Arial" w:cs="Arial"/>
        </w:rPr>
        <w:t> </w:t>
      </w:r>
      <w:r w:rsidRPr="00795065">
        <w:rPr>
          <w:rFonts w:ascii="Arial" w:hAnsi="Arial" w:cs="Arial"/>
        </w:rPr>
        <w:t>perspektyw 2004-2027, ich wpływ na PKB będzie dodatni.</w:t>
      </w:r>
    </w:p>
    <w:p w14:paraId="155D3AB9" w14:textId="6CC2AF30" w:rsidR="00F74864" w:rsidRPr="00785460" w:rsidRDefault="00F74864" w:rsidP="00F15187">
      <w:pPr>
        <w:pStyle w:val="Legenda"/>
      </w:pPr>
      <w:bookmarkStart w:id="45" w:name="_Toc173834313"/>
      <w:r w:rsidRPr="00785460">
        <w:t xml:space="preserve">Wykres </w:t>
      </w:r>
      <w:fldSimple w:instr=" SEQ Wykres \* ARABIC ">
        <w:r w:rsidR="009962A2">
          <w:rPr>
            <w:noProof/>
          </w:rPr>
          <w:t>4</w:t>
        </w:r>
      </w:fldSimple>
      <w:r w:rsidRPr="00785460">
        <w:rPr>
          <w:noProof/>
        </w:rPr>
        <w:t>.</w:t>
      </w:r>
      <w:r w:rsidRPr="00785460">
        <w:t xml:space="preserve"> Wpływ funduszy UE na PKB w cenach bieżących</w:t>
      </w:r>
      <w:bookmarkEnd w:id="45"/>
    </w:p>
    <w:p w14:paraId="0F5DFB13" w14:textId="7AFAD818" w:rsidR="00F74864" w:rsidRDefault="00767B33" w:rsidP="00917386">
      <w:pPr>
        <w:spacing w:after="0"/>
        <w:jc w:val="left"/>
        <w:rPr>
          <w:sz w:val="22"/>
          <w:szCs w:val="22"/>
        </w:rPr>
      </w:pPr>
      <w:r w:rsidRPr="00767B33">
        <w:rPr>
          <w:noProof/>
        </w:rPr>
        <w:drawing>
          <wp:inline distT="0" distB="0" distL="0" distR="0" wp14:anchorId="05114586" wp14:editId="182A3CB6">
            <wp:extent cx="5759450" cy="2943225"/>
            <wp:effectExtent l="0" t="0" r="0" b="0"/>
            <wp:docPr id="1162507211" name="Obraz 12" descr="Wykres 5. Wpływ funduszy UE na PKB w podziale na typy wspar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2507211" name="Obraz 12" descr="Wykres 5. Wpływ funduszy UE na PKB w podziale na typy wsparcia"/>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59450" cy="2943225"/>
                    </a:xfrm>
                    <a:prstGeom prst="rect">
                      <a:avLst/>
                    </a:prstGeom>
                    <a:noFill/>
                    <a:ln>
                      <a:noFill/>
                    </a:ln>
                  </pic:spPr>
                </pic:pic>
              </a:graphicData>
            </a:graphic>
          </wp:inline>
        </w:drawing>
      </w:r>
    </w:p>
    <w:p w14:paraId="359E130C" w14:textId="35902C9F" w:rsidR="003C4F0E" w:rsidRPr="00785460" w:rsidRDefault="00F74864" w:rsidP="00917386">
      <w:pPr>
        <w:spacing w:after="240" w:line="276" w:lineRule="auto"/>
        <w:jc w:val="left"/>
        <w:rPr>
          <w:rFonts w:ascii="Arial" w:hAnsi="Arial" w:cs="Arial"/>
          <w:i/>
          <w:iCs/>
        </w:rPr>
      </w:pPr>
      <w:r w:rsidRPr="00785460">
        <w:rPr>
          <w:rFonts w:ascii="Arial" w:hAnsi="Arial" w:cs="Arial"/>
          <w:i/>
          <w:iCs/>
        </w:rPr>
        <w:t>Źródło: opracowanie własne na podstawie symulacji modelu VESPA</w:t>
      </w:r>
      <w:r w:rsidR="004033AC" w:rsidRPr="00785460">
        <w:rPr>
          <w:rFonts w:ascii="Arial" w:hAnsi="Arial" w:cs="Arial"/>
          <w:i/>
          <w:iCs/>
        </w:rPr>
        <w:t>.</w:t>
      </w:r>
    </w:p>
    <w:p w14:paraId="583A596C" w14:textId="5F533734" w:rsidR="00F74864" w:rsidRPr="00785460" w:rsidRDefault="00F74864" w:rsidP="00F15187">
      <w:pPr>
        <w:pStyle w:val="Legenda"/>
      </w:pPr>
      <w:bookmarkStart w:id="46" w:name="_Toc173834314"/>
      <w:r w:rsidRPr="00785460">
        <w:t xml:space="preserve">Wykres </w:t>
      </w:r>
      <w:fldSimple w:instr=" SEQ Wykres \* ARABIC ">
        <w:r w:rsidR="009962A2">
          <w:rPr>
            <w:noProof/>
          </w:rPr>
          <w:t>5</w:t>
        </w:r>
      </w:fldSimple>
      <w:r w:rsidRPr="00785460">
        <w:rPr>
          <w:noProof/>
        </w:rPr>
        <w:t>.</w:t>
      </w:r>
      <w:r w:rsidRPr="00785460">
        <w:t xml:space="preserve"> Wpływ funduszy UE na PKB </w:t>
      </w:r>
      <w:r w:rsidR="00426504">
        <w:t xml:space="preserve">w cenach bieżących </w:t>
      </w:r>
      <w:r w:rsidRPr="00785460">
        <w:t>w podziale na typy wsparcia</w:t>
      </w:r>
      <w:bookmarkEnd w:id="46"/>
    </w:p>
    <w:p w14:paraId="518BFCE8" w14:textId="54B3870A" w:rsidR="00F74864" w:rsidRDefault="00D444D6" w:rsidP="00917386">
      <w:pPr>
        <w:spacing w:after="0"/>
        <w:jc w:val="left"/>
        <w:rPr>
          <w:rFonts w:asciiTheme="minorHAnsi" w:hAnsiTheme="minorHAnsi" w:cstheme="minorHAnsi"/>
        </w:rPr>
      </w:pPr>
      <w:r w:rsidRPr="00D444D6">
        <w:rPr>
          <w:noProof/>
        </w:rPr>
        <w:drawing>
          <wp:inline distT="0" distB="0" distL="0" distR="0" wp14:anchorId="1ABAAA1D" wp14:editId="7DDB82CC">
            <wp:extent cx="5759450" cy="3166110"/>
            <wp:effectExtent l="0" t="0" r="0" b="0"/>
            <wp:docPr id="1541460761" name="Obraz 15" descr="Wykres 5. Wpływ funduszy UE na PKB w podziale na typy wspar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460761" name="Obraz 15" descr="Wykres 5. Wpływ funduszy UE na PKB w podziale na typy wsparcia"/>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59450" cy="3166110"/>
                    </a:xfrm>
                    <a:prstGeom prst="rect">
                      <a:avLst/>
                    </a:prstGeom>
                    <a:noFill/>
                    <a:ln>
                      <a:noFill/>
                    </a:ln>
                  </pic:spPr>
                </pic:pic>
              </a:graphicData>
            </a:graphic>
          </wp:inline>
        </w:drawing>
      </w:r>
    </w:p>
    <w:p w14:paraId="585C33C6" w14:textId="77777777" w:rsidR="004033AC" w:rsidRPr="00785460" w:rsidRDefault="004033AC" w:rsidP="00917386">
      <w:pPr>
        <w:spacing w:after="240" w:line="276" w:lineRule="auto"/>
        <w:jc w:val="left"/>
        <w:rPr>
          <w:rFonts w:ascii="Arial" w:hAnsi="Arial" w:cs="Arial"/>
          <w:i/>
          <w:iCs/>
        </w:rPr>
      </w:pPr>
      <w:r w:rsidRPr="00785460">
        <w:rPr>
          <w:rFonts w:ascii="Arial" w:hAnsi="Arial" w:cs="Arial"/>
          <w:i/>
          <w:iCs/>
        </w:rPr>
        <w:t>Źródło: opracowanie własne na podstawie symulacji modelu VESPA.</w:t>
      </w:r>
    </w:p>
    <w:p w14:paraId="7873A846" w14:textId="77777777" w:rsidR="00586CF2" w:rsidRDefault="00586CF2">
      <w:pPr>
        <w:spacing w:after="0"/>
        <w:jc w:val="left"/>
        <w:rPr>
          <w:rFonts w:ascii="Arial" w:hAnsi="Arial" w:cs="Arial"/>
        </w:rPr>
      </w:pPr>
      <w:bookmarkStart w:id="47" w:name="_Hlk136006472"/>
      <w:r>
        <w:rPr>
          <w:rFonts w:ascii="Arial" w:hAnsi="Arial" w:cs="Arial"/>
        </w:rPr>
        <w:br w:type="page"/>
      </w:r>
    </w:p>
    <w:p w14:paraId="75091887" w14:textId="3409D66B" w:rsidR="00F14FA1" w:rsidRPr="005C3719" w:rsidRDefault="00795065" w:rsidP="00917386">
      <w:pPr>
        <w:spacing w:after="120" w:line="276" w:lineRule="auto"/>
        <w:jc w:val="left"/>
        <w:rPr>
          <w:rFonts w:ascii="Arial" w:hAnsi="Arial" w:cs="Arial"/>
        </w:rPr>
      </w:pPr>
      <w:r w:rsidRPr="00795065">
        <w:rPr>
          <w:rFonts w:ascii="Arial" w:hAnsi="Arial" w:cs="Arial"/>
        </w:rPr>
        <w:lastRenderedPageBreak/>
        <w:t>Biorąc pod uwagę strukturę wydatkowania, większość dodatkowego PKB wytworzonego w</w:t>
      </w:r>
      <w:r w:rsidR="00EF4149">
        <w:rPr>
          <w:rFonts w:ascii="Arial" w:hAnsi="Arial" w:cs="Arial"/>
        </w:rPr>
        <w:t> </w:t>
      </w:r>
      <w:r w:rsidRPr="00795065">
        <w:rPr>
          <w:rFonts w:ascii="Arial" w:hAnsi="Arial" w:cs="Arial"/>
        </w:rPr>
        <w:t>poszczególnych okresach można przypisać kolejnym perspektywom finansowym. W latach 2004-2009 źródłem dodatkowego wzrostu były środki NPR 2004-2006. W latach 2010-2018 rolę tę przejęły fundusze NSS 2007-2013, natomiast w okresie 2019-2025 środki Umowy Partnerstwa 2014-2020. Po</w:t>
      </w:r>
      <w:r w:rsidR="00EF4149">
        <w:rPr>
          <w:rFonts w:ascii="Arial" w:hAnsi="Arial" w:cs="Arial"/>
        </w:rPr>
        <w:t> </w:t>
      </w:r>
      <w:r w:rsidRPr="00795065">
        <w:rPr>
          <w:rFonts w:ascii="Arial" w:hAnsi="Arial" w:cs="Arial"/>
        </w:rPr>
        <w:t>roku 2025 głównym czynnikiem wspierającym tworzenie dodatkowego PKB w Polsce, w porównaniu do scenariusza „bez funduszy”, będą środki z Krajowego Planu Odbudowy i Umowy Partnerstwa 2021-2027.</w:t>
      </w:r>
      <w:r>
        <w:rPr>
          <w:rFonts w:ascii="Arial" w:hAnsi="Arial" w:cs="Arial"/>
        </w:rPr>
        <w:t xml:space="preserve"> </w:t>
      </w:r>
      <w:r w:rsidRPr="00795065">
        <w:rPr>
          <w:rFonts w:ascii="Arial" w:hAnsi="Arial" w:cs="Arial"/>
        </w:rPr>
        <w:t>Z punktu widzenia typu udzielonego wsparcia, podstawowym źródłem dodatkowego wzrostu PKB w całym analizowanym okresie jest infrastruktura podstawowa. Odpowiada ona za 2/3 całego dodatkowego produktu wytworzonego między rokiem 2004 a 2033 dzięki wydatkowaniu funduszy UE. Wynika to przede wszystkim z dominacji tej kategorii w ogóle wydatków oraz z dużej trwałości efektu wywołanego budową dodatkowej infrastruktury (niska stopa amortyzacji obiektów infrastrukturalnych w</w:t>
      </w:r>
      <w:r w:rsidR="00EF4149">
        <w:rPr>
          <w:rFonts w:ascii="Arial" w:hAnsi="Arial" w:cs="Arial"/>
        </w:rPr>
        <w:t> </w:t>
      </w:r>
      <w:r w:rsidRPr="00795065">
        <w:rPr>
          <w:rFonts w:ascii="Arial" w:hAnsi="Arial" w:cs="Arial"/>
        </w:rPr>
        <w:t>porównaniu do kapitału ludzkiego finansowanego z RZL oraz maszyn i urządzeń finansowanych z</w:t>
      </w:r>
      <w:r w:rsidR="00EF4149">
        <w:rPr>
          <w:rFonts w:ascii="Arial" w:hAnsi="Arial" w:cs="Arial"/>
        </w:rPr>
        <w:t> </w:t>
      </w:r>
      <w:r w:rsidRPr="00795065">
        <w:rPr>
          <w:rFonts w:ascii="Arial" w:hAnsi="Arial" w:cs="Arial"/>
        </w:rPr>
        <w:t>BSP).</w:t>
      </w:r>
      <w:r w:rsidR="006B30A9">
        <w:rPr>
          <w:rFonts w:ascii="Arial" w:hAnsi="Arial" w:cs="Arial"/>
        </w:rPr>
        <w:t xml:space="preserve"> </w:t>
      </w:r>
      <w:r w:rsidRPr="00795065">
        <w:rPr>
          <w:rFonts w:ascii="Arial" w:hAnsi="Arial" w:cs="Arial"/>
        </w:rPr>
        <w:t>Z perspektywy regionalnej, największy wpływ na PKB miały – relatywnie wyjściowo najuboższe – regiony Polski Wschodniej (</w:t>
      </w:r>
      <w:r w:rsidR="3E71BA14" w:rsidRPr="343F9048">
        <w:rPr>
          <w:rFonts w:ascii="Arial" w:hAnsi="Arial" w:cs="Arial"/>
        </w:rPr>
        <w:t>w</w:t>
      </w:r>
      <w:r w:rsidRPr="343F9048">
        <w:rPr>
          <w:rFonts w:ascii="Arial" w:hAnsi="Arial" w:cs="Arial"/>
        </w:rPr>
        <w:t>armińsko-</w:t>
      </w:r>
      <w:r w:rsidR="6FFC1D4B" w:rsidRPr="343F9048">
        <w:rPr>
          <w:rFonts w:ascii="Arial" w:hAnsi="Arial" w:cs="Arial"/>
        </w:rPr>
        <w:t>m</w:t>
      </w:r>
      <w:r w:rsidRPr="343F9048">
        <w:rPr>
          <w:rFonts w:ascii="Arial" w:hAnsi="Arial" w:cs="Arial"/>
        </w:rPr>
        <w:t xml:space="preserve">azurskie, </w:t>
      </w:r>
      <w:r w:rsidR="5B6D6B41" w:rsidRPr="343F9048">
        <w:rPr>
          <w:rFonts w:ascii="Arial" w:hAnsi="Arial" w:cs="Arial"/>
        </w:rPr>
        <w:t>l</w:t>
      </w:r>
      <w:r w:rsidRPr="343F9048">
        <w:rPr>
          <w:rFonts w:ascii="Arial" w:hAnsi="Arial" w:cs="Arial"/>
        </w:rPr>
        <w:t xml:space="preserve">ubelskie, </w:t>
      </w:r>
      <w:r w:rsidR="467605E4" w:rsidRPr="343F9048">
        <w:rPr>
          <w:rFonts w:ascii="Arial" w:hAnsi="Arial" w:cs="Arial"/>
        </w:rPr>
        <w:t>p</w:t>
      </w:r>
      <w:r w:rsidRPr="00795065">
        <w:rPr>
          <w:rFonts w:ascii="Arial" w:hAnsi="Arial" w:cs="Arial"/>
        </w:rPr>
        <w:t xml:space="preserve">odkarpackie i </w:t>
      </w:r>
      <w:r w:rsidR="54275C7B" w:rsidRPr="343F9048">
        <w:rPr>
          <w:rFonts w:ascii="Arial" w:hAnsi="Arial" w:cs="Arial"/>
        </w:rPr>
        <w:t>p</w:t>
      </w:r>
      <w:r w:rsidRPr="00795065">
        <w:rPr>
          <w:rFonts w:ascii="Arial" w:hAnsi="Arial" w:cs="Arial"/>
        </w:rPr>
        <w:t xml:space="preserve">odlaskie), które dzięki funduszom UE </w:t>
      </w:r>
      <w:r w:rsidR="00426504">
        <w:rPr>
          <w:rFonts w:ascii="Arial" w:hAnsi="Arial" w:cs="Arial"/>
        </w:rPr>
        <w:t xml:space="preserve">zyskują </w:t>
      </w:r>
      <w:r w:rsidRPr="00795065">
        <w:rPr>
          <w:rFonts w:ascii="Arial" w:hAnsi="Arial" w:cs="Arial"/>
        </w:rPr>
        <w:t xml:space="preserve">w latach 2004-2033 około 6-7% dodatkowego PKB rocznie. Efekt ten </w:t>
      </w:r>
      <w:r w:rsidR="00426504">
        <w:rPr>
          <w:rFonts w:ascii="Arial" w:hAnsi="Arial" w:cs="Arial"/>
        </w:rPr>
        <w:t xml:space="preserve">jest </w:t>
      </w:r>
      <w:r w:rsidRPr="00795065">
        <w:rPr>
          <w:rFonts w:ascii="Arial" w:hAnsi="Arial" w:cs="Arial"/>
        </w:rPr>
        <w:t>o około 30-40% mniejszy w regionach średniozamożnych (</w:t>
      </w:r>
      <w:r w:rsidR="0D71CAE7" w:rsidRPr="218819B4">
        <w:rPr>
          <w:rFonts w:ascii="Arial" w:hAnsi="Arial" w:cs="Arial"/>
        </w:rPr>
        <w:t>ś</w:t>
      </w:r>
      <w:r w:rsidRPr="218819B4">
        <w:rPr>
          <w:rFonts w:ascii="Arial" w:hAnsi="Arial" w:cs="Arial"/>
        </w:rPr>
        <w:t xml:space="preserve">więtokrzyskie, </w:t>
      </w:r>
      <w:r w:rsidR="5F5A2254" w:rsidRPr="218819B4">
        <w:rPr>
          <w:rFonts w:ascii="Arial" w:hAnsi="Arial" w:cs="Arial"/>
        </w:rPr>
        <w:t>z</w:t>
      </w:r>
      <w:r w:rsidRPr="218819B4">
        <w:rPr>
          <w:rFonts w:ascii="Arial" w:hAnsi="Arial" w:cs="Arial"/>
        </w:rPr>
        <w:t xml:space="preserve">achodniopomorskie, </w:t>
      </w:r>
      <w:r w:rsidR="528578AA" w:rsidRPr="218819B4">
        <w:rPr>
          <w:rFonts w:ascii="Arial" w:hAnsi="Arial" w:cs="Arial"/>
        </w:rPr>
        <w:t>l</w:t>
      </w:r>
      <w:r w:rsidRPr="218819B4">
        <w:rPr>
          <w:rFonts w:ascii="Arial" w:hAnsi="Arial" w:cs="Arial"/>
        </w:rPr>
        <w:t xml:space="preserve">ubuskie, </w:t>
      </w:r>
      <w:r w:rsidR="149B2C8D" w:rsidRPr="218819B4">
        <w:rPr>
          <w:rFonts w:ascii="Arial" w:hAnsi="Arial" w:cs="Arial"/>
        </w:rPr>
        <w:t>k</w:t>
      </w:r>
      <w:r w:rsidRPr="218819B4">
        <w:rPr>
          <w:rFonts w:ascii="Arial" w:hAnsi="Arial" w:cs="Arial"/>
        </w:rPr>
        <w:t>ujawsko-</w:t>
      </w:r>
      <w:r w:rsidR="647DDD76" w:rsidRPr="218819B4">
        <w:rPr>
          <w:rFonts w:ascii="Arial" w:hAnsi="Arial" w:cs="Arial"/>
        </w:rPr>
        <w:t>p</w:t>
      </w:r>
      <w:r w:rsidRPr="218819B4">
        <w:rPr>
          <w:rFonts w:ascii="Arial" w:hAnsi="Arial" w:cs="Arial"/>
        </w:rPr>
        <w:t xml:space="preserve">omorskie, </w:t>
      </w:r>
      <w:r w:rsidR="49C76346" w:rsidRPr="218819B4">
        <w:rPr>
          <w:rFonts w:ascii="Arial" w:hAnsi="Arial" w:cs="Arial"/>
        </w:rPr>
        <w:t>ł</w:t>
      </w:r>
      <w:r w:rsidRPr="218819B4">
        <w:rPr>
          <w:rFonts w:ascii="Arial" w:hAnsi="Arial" w:cs="Arial"/>
        </w:rPr>
        <w:t xml:space="preserve">ódzkie, </w:t>
      </w:r>
      <w:r w:rsidR="73907769" w:rsidRPr="218819B4">
        <w:rPr>
          <w:rFonts w:ascii="Arial" w:hAnsi="Arial" w:cs="Arial"/>
        </w:rPr>
        <w:t>o</w:t>
      </w:r>
      <w:r w:rsidRPr="00795065">
        <w:rPr>
          <w:rFonts w:ascii="Arial" w:hAnsi="Arial" w:cs="Arial"/>
        </w:rPr>
        <w:t xml:space="preserve">polskie i </w:t>
      </w:r>
      <w:r w:rsidR="3789169A" w:rsidRPr="218819B4">
        <w:rPr>
          <w:rFonts w:ascii="Arial" w:hAnsi="Arial" w:cs="Arial"/>
        </w:rPr>
        <w:t>m</w:t>
      </w:r>
      <w:r w:rsidRPr="00795065">
        <w:rPr>
          <w:rFonts w:ascii="Arial" w:hAnsi="Arial" w:cs="Arial"/>
        </w:rPr>
        <w:t>ałopolskie) i około 50-60% mniejszy w</w:t>
      </w:r>
      <w:r w:rsidR="00EF4149">
        <w:rPr>
          <w:rFonts w:ascii="Arial" w:hAnsi="Arial" w:cs="Arial"/>
        </w:rPr>
        <w:t> </w:t>
      </w:r>
      <w:r w:rsidRPr="00795065">
        <w:rPr>
          <w:rFonts w:ascii="Arial" w:hAnsi="Arial" w:cs="Arial"/>
        </w:rPr>
        <w:t>województwach najzamożniejszych (</w:t>
      </w:r>
      <w:r w:rsidR="34D9C47B" w:rsidRPr="218819B4">
        <w:rPr>
          <w:rFonts w:ascii="Arial" w:hAnsi="Arial" w:cs="Arial"/>
        </w:rPr>
        <w:t>ś</w:t>
      </w:r>
      <w:r w:rsidRPr="218819B4">
        <w:rPr>
          <w:rFonts w:ascii="Arial" w:hAnsi="Arial" w:cs="Arial"/>
        </w:rPr>
        <w:t xml:space="preserve">ląskie, </w:t>
      </w:r>
      <w:r w:rsidR="62C1CF34" w:rsidRPr="218819B4">
        <w:rPr>
          <w:rFonts w:ascii="Arial" w:hAnsi="Arial" w:cs="Arial"/>
        </w:rPr>
        <w:t>d</w:t>
      </w:r>
      <w:r w:rsidRPr="218819B4">
        <w:rPr>
          <w:rFonts w:ascii="Arial" w:hAnsi="Arial" w:cs="Arial"/>
        </w:rPr>
        <w:t xml:space="preserve">olnośląskie, </w:t>
      </w:r>
      <w:r w:rsidR="7013362E" w:rsidRPr="218819B4">
        <w:rPr>
          <w:rFonts w:ascii="Arial" w:hAnsi="Arial" w:cs="Arial"/>
        </w:rPr>
        <w:t>w</w:t>
      </w:r>
      <w:r w:rsidRPr="00795065">
        <w:rPr>
          <w:rFonts w:ascii="Arial" w:hAnsi="Arial" w:cs="Arial"/>
        </w:rPr>
        <w:t xml:space="preserve">ielkopolskie i </w:t>
      </w:r>
      <w:r w:rsidR="17572F1A" w:rsidRPr="218819B4">
        <w:rPr>
          <w:rFonts w:ascii="Arial" w:hAnsi="Arial" w:cs="Arial"/>
        </w:rPr>
        <w:t>m</w:t>
      </w:r>
      <w:r w:rsidRPr="00795065">
        <w:rPr>
          <w:rFonts w:ascii="Arial" w:hAnsi="Arial" w:cs="Arial"/>
        </w:rPr>
        <w:t>azowieckie). Środki UE sprzyjają więc konwergencji gospodarczej między regionami.</w:t>
      </w:r>
    </w:p>
    <w:p w14:paraId="395F7CDA" w14:textId="081F963E" w:rsidR="00F14FA1" w:rsidRPr="00785460" w:rsidRDefault="00F14FA1" w:rsidP="00F15187">
      <w:pPr>
        <w:pStyle w:val="Legenda"/>
      </w:pPr>
      <w:bookmarkStart w:id="48" w:name="_Toc173834315"/>
      <w:r w:rsidRPr="00785460">
        <w:t xml:space="preserve">Wykres </w:t>
      </w:r>
      <w:fldSimple w:instr=" SEQ Wykres \* ARABIC ">
        <w:r w:rsidR="009962A2">
          <w:rPr>
            <w:noProof/>
          </w:rPr>
          <w:t>6</w:t>
        </w:r>
      </w:fldSimple>
      <w:r w:rsidRPr="00785460">
        <w:t>. Wpływ funduszy UE na PKB w podziale na perspektywy finansowe</w:t>
      </w:r>
      <w:bookmarkEnd w:id="48"/>
    </w:p>
    <w:p w14:paraId="3A247B84" w14:textId="77D63BCC" w:rsidR="00F14FA1" w:rsidRDefault="00767B33" w:rsidP="00917386">
      <w:pPr>
        <w:spacing w:after="0"/>
        <w:jc w:val="left"/>
        <w:rPr>
          <w:rFonts w:asciiTheme="minorHAnsi" w:hAnsiTheme="minorHAnsi" w:cstheme="minorHAnsi"/>
          <w:sz w:val="22"/>
          <w:szCs w:val="22"/>
        </w:rPr>
      </w:pPr>
      <w:r w:rsidRPr="00767B33">
        <w:rPr>
          <w:noProof/>
        </w:rPr>
        <w:drawing>
          <wp:inline distT="0" distB="0" distL="0" distR="0" wp14:anchorId="2F8E7C5A" wp14:editId="2A4A2A4A">
            <wp:extent cx="5759450" cy="3277235"/>
            <wp:effectExtent l="0" t="0" r="0" b="0"/>
            <wp:docPr id="737946886" name="Obraz 13" descr="Mapa 2. Średni wpływ funduszy UE na PKB województw (w proc.) w latach 2004-2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7946886" name="Obraz 13" descr="Mapa 2. Średni wpływ funduszy UE na PKB województw (w proc.) w latach 2004-203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759450" cy="3277235"/>
                    </a:xfrm>
                    <a:prstGeom prst="rect">
                      <a:avLst/>
                    </a:prstGeom>
                    <a:noFill/>
                    <a:ln>
                      <a:noFill/>
                    </a:ln>
                  </pic:spPr>
                </pic:pic>
              </a:graphicData>
            </a:graphic>
          </wp:inline>
        </w:drawing>
      </w:r>
    </w:p>
    <w:p w14:paraId="5DCDF2CA" w14:textId="7BE3C202" w:rsidR="003C4F0E" w:rsidRPr="00C70777" w:rsidRDefault="004033AC" w:rsidP="00917386">
      <w:pPr>
        <w:spacing w:after="240" w:line="276" w:lineRule="auto"/>
        <w:jc w:val="left"/>
        <w:rPr>
          <w:rFonts w:ascii="Arial" w:hAnsi="Arial" w:cs="Arial"/>
          <w:i/>
          <w:iCs/>
        </w:rPr>
      </w:pPr>
      <w:r w:rsidRPr="00785460">
        <w:rPr>
          <w:rFonts w:ascii="Arial" w:hAnsi="Arial" w:cs="Arial"/>
          <w:i/>
          <w:iCs/>
        </w:rPr>
        <w:t>Źródło: opracowanie własne na podstawie symulacji modelu VESPA.</w:t>
      </w:r>
      <w:bookmarkEnd w:id="47"/>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277"/>
        <w:gridCol w:w="94"/>
        <w:gridCol w:w="4436"/>
      </w:tblGrid>
      <w:tr w:rsidR="00016140" w14:paraId="680F3E22" w14:textId="77777777" w:rsidTr="00C27264">
        <w:tc>
          <w:tcPr>
            <w:tcW w:w="4530" w:type="dxa"/>
            <w:gridSpan w:val="2"/>
          </w:tcPr>
          <w:p w14:paraId="2D94CDAF" w14:textId="62E68E85" w:rsidR="00C41CD1" w:rsidRPr="00785460" w:rsidRDefault="00C41CD1" w:rsidP="00F15187">
            <w:pPr>
              <w:pStyle w:val="Legenda"/>
            </w:pPr>
            <w:bookmarkStart w:id="49" w:name="_Toc173834344"/>
            <w:r w:rsidRPr="00785460">
              <w:lastRenderedPageBreak/>
              <w:t xml:space="preserve">Mapa </w:t>
            </w:r>
            <w:r>
              <w:fldChar w:fldCharType="begin"/>
            </w:r>
            <w:r>
              <w:instrText>SEQ Mapa \* ARABIC</w:instrText>
            </w:r>
            <w:r>
              <w:fldChar w:fldCharType="separate"/>
            </w:r>
            <w:r w:rsidR="009962A2">
              <w:rPr>
                <w:noProof/>
              </w:rPr>
              <w:t>2</w:t>
            </w:r>
            <w:r>
              <w:fldChar w:fldCharType="end"/>
            </w:r>
            <w:r w:rsidRPr="00785460">
              <w:rPr>
                <w:rFonts w:eastAsia="Times New Roman"/>
                <w:color w:val="auto"/>
              </w:rPr>
              <w:t>. Ś</w:t>
            </w:r>
            <w:r w:rsidRPr="00785460">
              <w:t>redni wpływ funduszy UE na PKB województw (w proc</w:t>
            </w:r>
            <w:r w:rsidR="003C34B6" w:rsidRPr="00785460">
              <w:t>.</w:t>
            </w:r>
            <w:r w:rsidRPr="00785460">
              <w:t>) w latach 2004-2033</w:t>
            </w:r>
            <w:bookmarkEnd w:id="49"/>
          </w:p>
        </w:tc>
        <w:tc>
          <w:tcPr>
            <w:tcW w:w="4530" w:type="dxa"/>
            <w:gridSpan w:val="2"/>
          </w:tcPr>
          <w:p w14:paraId="67594DEC" w14:textId="4A56166F" w:rsidR="00C41CD1" w:rsidRPr="00785460" w:rsidRDefault="00C41CD1" w:rsidP="00F15187">
            <w:pPr>
              <w:pStyle w:val="Legenda"/>
            </w:pPr>
            <w:bookmarkStart w:id="50" w:name="_Toc173834316"/>
            <w:r w:rsidRPr="00785460">
              <w:t xml:space="preserve">Wykres </w:t>
            </w:r>
            <w:r>
              <w:fldChar w:fldCharType="begin"/>
            </w:r>
            <w:r>
              <w:instrText>SEQ Wykres \* ARABIC</w:instrText>
            </w:r>
            <w:r>
              <w:fldChar w:fldCharType="separate"/>
            </w:r>
            <w:r w:rsidR="009962A2">
              <w:rPr>
                <w:noProof/>
              </w:rPr>
              <w:t>7</w:t>
            </w:r>
            <w:r>
              <w:fldChar w:fldCharType="end"/>
            </w:r>
            <w:r w:rsidRPr="00785460">
              <w:rPr>
                <w:noProof/>
              </w:rPr>
              <w:t>.</w:t>
            </w:r>
            <w:r w:rsidRPr="00785460">
              <w:t xml:space="preserve"> Średni wpływ funduszy UE na PKB województw (w proc</w:t>
            </w:r>
            <w:r w:rsidR="003C34B6" w:rsidRPr="00785460">
              <w:t>.</w:t>
            </w:r>
            <w:r w:rsidRPr="00785460">
              <w:t>) w latach 2004-202</w:t>
            </w:r>
            <w:r w:rsidR="00016140">
              <w:t>3</w:t>
            </w:r>
            <w:r w:rsidRPr="00785460">
              <w:t xml:space="preserve"> i 202</w:t>
            </w:r>
            <w:r w:rsidR="00016140">
              <w:t>4</w:t>
            </w:r>
            <w:r w:rsidRPr="00785460">
              <w:t>-2033</w:t>
            </w:r>
            <w:bookmarkEnd w:id="50"/>
          </w:p>
        </w:tc>
      </w:tr>
      <w:tr w:rsidR="00016140" w14:paraId="7E89BB2B" w14:textId="77777777" w:rsidTr="00C27264">
        <w:tc>
          <w:tcPr>
            <w:tcW w:w="4624" w:type="dxa"/>
            <w:gridSpan w:val="3"/>
          </w:tcPr>
          <w:p w14:paraId="2BCF91AB" w14:textId="21D27355" w:rsidR="00FB1B19" w:rsidRDefault="00016140" w:rsidP="00F15187">
            <w:pPr>
              <w:spacing w:after="0"/>
              <w:jc w:val="left"/>
              <w:rPr>
                <w:rFonts w:asciiTheme="minorHAnsi" w:hAnsiTheme="minorHAnsi" w:cstheme="minorHAnsi"/>
              </w:rPr>
            </w:pPr>
            <w:r w:rsidRPr="00016140">
              <w:rPr>
                <w:rFonts w:asciiTheme="minorHAnsi" w:hAnsiTheme="minorHAnsi" w:cstheme="minorHAnsi"/>
                <w:noProof/>
              </w:rPr>
              <w:drawing>
                <wp:inline distT="0" distB="0" distL="0" distR="0" wp14:anchorId="2FA0FE02" wp14:editId="719262AD">
                  <wp:extent cx="2641157" cy="2228850"/>
                  <wp:effectExtent l="0" t="0" r="6985" b="0"/>
                  <wp:docPr id="1999967876" name="Obraz 19" descr="Wykres 7. Średni wpływ funduszy UE na PKB województw (w proc.) w latach 2004-2023 i 2024-2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9967876" name="Obraz 19" descr="Wykres 7. Średni wpływ funduszy UE na PKB województw (w proc.) w latach 2004-2023 i 2024-203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659040" cy="2243942"/>
                          </a:xfrm>
                          <a:prstGeom prst="rect">
                            <a:avLst/>
                          </a:prstGeom>
                          <a:noFill/>
                          <a:ln>
                            <a:noFill/>
                          </a:ln>
                        </pic:spPr>
                      </pic:pic>
                    </a:graphicData>
                  </a:graphic>
                </wp:inline>
              </w:drawing>
            </w:r>
          </w:p>
        </w:tc>
        <w:tc>
          <w:tcPr>
            <w:tcW w:w="4436" w:type="dxa"/>
          </w:tcPr>
          <w:p w14:paraId="55141580" w14:textId="793EADA7" w:rsidR="00FB1B19" w:rsidRDefault="00016140" w:rsidP="00F15187">
            <w:pPr>
              <w:spacing w:after="0"/>
              <w:jc w:val="left"/>
              <w:rPr>
                <w:rFonts w:asciiTheme="minorHAnsi" w:hAnsiTheme="minorHAnsi" w:cstheme="minorHAnsi"/>
              </w:rPr>
            </w:pPr>
            <w:r w:rsidRPr="00016140">
              <w:rPr>
                <w:rFonts w:asciiTheme="minorHAnsi" w:hAnsiTheme="minorHAnsi" w:cstheme="minorHAnsi"/>
                <w:noProof/>
              </w:rPr>
              <w:drawing>
                <wp:inline distT="0" distB="0" distL="0" distR="0" wp14:anchorId="3D2F640E" wp14:editId="29C48F3B">
                  <wp:extent cx="2652481" cy="2543175"/>
                  <wp:effectExtent l="0" t="0" r="0" b="0"/>
                  <wp:docPr id="291804890" name="Obraz 20" descr="Mapa 2. Średni wpływ funduszy UE na PKB województw (w proc.) w latach 2004-2033 Wykres 7. Średni wpływ funduszy UE na PKB województw (w proc.) w latach 2004-2023 i 2024-2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804890" name="Obraz 20" descr="Mapa 2. Średni wpływ funduszy UE na PKB województw (w proc.) w latach 2004-2033 Wykres 7. Średni wpływ funduszy UE na PKB województw (w proc.) w latach 2004-2023 i 2024-203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656955" cy="2547465"/>
                          </a:xfrm>
                          <a:prstGeom prst="rect">
                            <a:avLst/>
                          </a:prstGeom>
                          <a:noFill/>
                          <a:ln>
                            <a:noFill/>
                          </a:ln>
                        </pic:spPr>
                      </pic:pic>
                    </a:graphicData>
                  </a:graphic>
                </wp:inline>
              </w:drawing>
            </w:r>
          </w:p>
        </w:tc>
      </w:tr>
      <w:tr w:rsidR="000F3F4B" w:rsidRPr="00785460" w14:paraId="29B80FEF" w14:textId="77777777" w:rsidTr="00917386">
        <w:tc>
          <w:tcPr>
            <w:tcW w:w="4253" w:type="dxa"/>
          </w:tcPr>
          <w:p w14:paraId="01F0B8C1" w14:textId="77777777" w:rsidR="000F3F4B" w:rsidRPr="00785460" w:rsidRDefault="000F3F4B" w:rsidP="00F15187">
            <w:pPr>
              <w:spacing w:after="240" w:line="276" w:lineRule="auto"/>
              <w:jc w:val="left"/>
              <w:rPr>
                <w:rFonts w:ascii="Arial" w:hAnsi="Arial" w:cs="Arial"/>
                <w:i/>
                <w:iCs/>
              </w:rPr>
            </w:pPr>
            <w:r w:rsidRPr="00785460">
              <w:rPr>
                <w:rFonts w:ascii="Arial" w:hAnsi="Arial" w:cs="Arial"/>
                <w:i/>
                <w:iCs/>
              </w:rPr>
              <w:t>Źródło: opracowanie własne na podstawie symulacji modelu VESPA.</w:t>
            </w:r>
          </w:p>
        </w:tc>
        <w:tc>
          <w:tcPr>
            <w:tcW w:w="4807" w:type="dxa"/>
            <w:gridSpan w:val="3"/>
          </w:tcPr>
          <w:p w14:paraId="0AEC63A9" w14:textId="77777777" w:rsidR="000F3F4B" w:rsidRPr="00785460" w:rsidRDefault="000F3F4B" w:rsidP="00F15187">
            <w:pPr>
              <w:spacing w:after="240" w:line="276" w:lineRule="auto"/>
              <w:jc w:val="left"/>
              <w:rPr>
                <w:rFonts w:ascii="Arial" w:hAnsi="Arial" w:cs="Arial"/>
                <w:i/>
                <w:iCs/>
              </w:rPr>
            </w:pPr>
            <w:r w:rsidRPr="00785460">
              <w:rPr>
                <w:rFonts w:ascii="Arial" w:hAnsi="Arial" w:cs="Arial"/>
                <w:i/>
                <w:iCs/>
              </w:rPr>
              <w:t>Źródło: opracowanie własne na podstawie symulacji modelu VESPA.</w:t>
            </w:r>
          </w:p>
        </w:tc>
      </w:tr>
    </w:tbl>
    <w:p w14:paraId="34165560" w14:textId="0021CB04" w:rsidR="000D1E8C" w:rsidRPr="00917386" w:rsidRDefault="000D1E8C" w:rsidP="00917386">
      <w:pPr>
        <w:pStyle w:val="Styl1"/>
        <w:jc w:val="left"/>
        <w:rPr>
          <w:color w:val="auto"/>
        </w:rPr>
      </w:pPr>
      <w:bookmarkStart w:id="51" w:name="_Toc176241622"/>
      <w:r w:rsidRPr="00917386">
        <w:rPr>
          <w:color w:val="auto"/>
        </w:rPr>
        <w:t>Wpływ na PKB per capita</w:t>
      </w:r>
      <w:bookmarkEnd w:id="51"/>
    </w:p>
    <w:p w14:paraId="69B79E95" w14:textId="5A3A8288" w:rsidR="00F74864" w:rsidRPr="005C3719" w:rsidRDefault="00795065" w:rsidP="00917386">
      <w:pPr>
        <w:spacing w:after="120" w:line="276" w:lineRule="auto"/>
        <w:jc w:val="left"/>
        <w:rPr>
          <w:rFonts w:ascii="Arial" w:hAnsi="Arial" w:cs="Arial"/>
        </w:rPr>
      </w:pPr>
      <w:bookmarkStart w:id="52" w:name="_Hlk136006485"/>
      <w:r w:rsidRPr="00795065">
        <w:rPr>
          <w:rFonts w:ascii="Arial" w:hAnsi="Arial" w:cs="Arial"/>
        </w:rPr>
        <w:t xml:space="preserve">Symulacje wskazują, że wzrost PKB wynikający z wydatkowania funduszy </w:t>
      </w:r>
      <w:r>
        <w:rPr>
          <w:rFonts w:ascii="Arial" w:hAnsi="Arial" w:cs="Arial"/>
        </w:rPr>
        <w:t>UE</w:t>
      </w:r>
      <w:r w:rsidRPr="00795065">
        <w:rPr>
          <w:rFonts w:ascii="Arial" w:hAnsi="Arial" w:cs="Arial"/>
        </w:rPr>
        <w:t xml:space="preserve"> przyczynił się do szybszej konwergencji Polski względem reszty Unii Europejskiej. W latach 2004-2013 luka rozwojowa między Polską a średnią UE-27 zmniejszyła się z tego powodu o ponad 4 punkty procentowe. Zmniejszenie skali finansowania w latach 2013-2018 chwilowo osłabiło ten efekt, jednak po zwiększeniu wsparcia w</w:t>
      </w:r>
      <w:r w:rsidR="00EF4149">
        <w:rPr>
          <w:rFonts w:ascii="Arial" w:hAnsi="Arial" w:cs="Arial"/>
        </w:rPr>
        <w:t> </w:t>
      </w:r>
      <w:r w:rsidRPr="00795065">
        <w:rPr>
          <w:rFonts w:ascii="Arial" w:hAnsi="Arial" w:cs="Arial"/>
        </w:rPr>
        <w:t>ramach uruchomienia UP 2013-2020, PKB per capita liczone według parytetu siły nabywczej w Polsce ponownie przekroczyło wartość scenariusza „bez funduszy”, osiągając maksymalnie (w roku 2022) przewagę o około 3,4 punkty procentowe. Oczekuje się, że ten poziom wzrośnie do 5,4 punktów procentowych w latach 2026-2027, gdy nastąpi kumulacja wydatkowania środków z UP 2021-2027 oraz KPO.</w:t>
      </w:r>
      <w:r>
        <w:rPr>
          <w:rFonts w:ascii="Arial" w:hAnsi="Arial" w:cs="Arial"/>
        </w:rPr>
        <w:t xml:space="preserve"> </w:t>
      </w:r>
      <w:r w:rsidRPr="00795065">
        <w:rPr>
          <w:rFonts w:ascii="Arial" w:hAnsi="Arial" w:cs="Arial"/>
        </w:rPr>
        <w:t>Następnie, w wyniku stopniowego spadku współfinansowania krajowych inwestycji infrastrukturalnych, wydatków inwestycyjnych firm oraz akumulacji kapitału ludzkiego, scenariusz „z</w:t>
      </w:r>
      <w:r w:rsidR="00EF4149">
        <w:rPr>
          <w:rFonts w:ascii="Arial" w:hAnsi="Arial" w:cs="Arial"/>
        </w:rPr>
        <w:t> </w:t>
      </w:r>
      <w:r w:rsidRPr="00795065">
        <w:rPr>
          <w:rFonts w:ascii="Arial" w:hAnsi="Arial" w:cs="Arial"/>
        </w:rPr>
        <w:t>funduszami” zacznie stopniowo zbliżać się do scenariusza kontrfaktycznego, chyba że gospodarka zostanie ponownie zasilona funduszami z kolejnej perspektywy finansowej. Oznacza to, że pozytywny wpływ wsparcia unijnego na konwergencję zaniknie około roku 2037, o ile środki KPO 2022-2026 i UP 2021-2027 nie zostaną po roku 2029 uzupełnione odpowiednim wsparciem z nowej perspektywy finansowej. Na podstawie przeprowadzonych symulacji można przypuszczać, że gdyby wsparcie było niższe niż dotychczas (około 1,5-2% PKB zamiast około 3%), możliwe byłoby utrzymanie ścieżki wzrostu PKB per capita około 3-4 punkty procentowe powyżej ścieżki kontrfaktycznej.</w:t>
      </w:r>
    </w:p>
    <w:p w14:paraId="75ED65D8" w14:textId="50278E52" w:rsidR="00F74864" w:rsidRPr="00785460" w:rsidRDefault="00F74864" w:rsidP="00F15187">
      <w:pPr>
        <w:pStyle w:val="Legenda"/>
        <w:rPr>
          <w:sz w:val="22"/>
          <w:szCs w:val="22"/>
        </w:rPr>
      </w:pPr>
      <w:bookmarkStart w:id="53" w:name="_Toc173834317"/>
      <w:r w:rsidRPr="00785460">
        <w:lastRenderedPageBreak/>
        <w:t xml:space="preserve">Wykres </w:t>
      </w:r>
      <w:fldSimple w:instr=" SEQ Wykres \* ARABIC ">
        <w:r w:rsidR="009962A2">
          <w:rPr>
            <w:noProof/>
          </w:rPr>
          <w:t>8</w:t>
        </w:r>
      </w:fldSimple>
      <w:r w:rsidRPr="00785460">
        <w:rPr>
          <w:noProof/>
        </w:rPr>
        <w:t>.</w:t>
      </w:r>
      <w:r w:rsidRPr="00785460">
        <w:t xml:space="preserve"> Wpływ funduszy UE na PKB per capita w relacji do średniej UE-27 (wg PPS)</w:t>
      </w:r>
      <w:bookmarkEnd w:id="53"/>
    </w:p>
    <w:bookmarkEnd w:id="52"/>
    <w:p w14:paraId="3CD14FCC" w14:textId="0B5BDFAA" w:rsidR="000A1ADF" w:rsidRDefault="00016140" w:rsidP="00917386">
      <w:pPr>
        <w:spacing w:after="0"/>
        <w:jc w:val="left"/>
        <w:rPr>
          <w:rFonts w:asciiTheme="minorHAnsi" w:hAnsiTheme="minorHAnsi" w:cstheme="minorHAnsi"/>
          <w:sz w:val="22"/>
          <w:szCs w:val="22"/>
        </w:rPr>
      </w:pPr>
      <w:r w:rsidRPr="00016140">
        <w:rPr>
          <w:noProof/>
        </w:rPr>
        <w:drawing>
          <wp:inline distT="0" distB="0" distL="0" distR="0" wp14:anchorId="673351C1" wp14:editId="02282806">
            <wp:extent cx="5759450" cy="2898140"/>
            <wp:effectExtent l="0" t="0" r="0" b="0"/>
            <wp:docPr id="528274287" name="Obraz 21" descr="Mapa 3. Średni wpływ funduszy UE na PKB per capita województw (w proc. UE27) w latach 2004-2033 Wykres 9. Średni wpływ funduszy UE na PKB per capita województw (w proc. UE27) w latach 2004-2023 i 2024-2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274287" name="Obraz 21" descr="Mapa 3. Średni wpływ funduszy UE na PKB per capita województw (w proc. UE27) w latach 2004-2033 Wykres 9. Średni wpływ funduszy UE na PKB per capita województw (w proc. UE27) w latach 2004-2023 i 2024-203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759450" cy="2898140"/>
                    </a:xfrm>
                    <a:prstGeom prst="rect">
                      <a:avLst/>
                    </a:prstGeom>
                    <a:noFill/>
                    <a:ln>
                      <a:noFill/>
                    </a:ln>
                  </pic:spPr>
                </pic:pic>
              </a:graphicData>
            </a:graphic>
          </wp:inline>
        </w:drawing>
      </w:r>
    </w:p>
    <w:p w14:paraId="28F14807" w14:textId="68E32EE9" w:rsidR="00F74864" w:rsidRPr="00785460" w:rsidRDefault="00F74864" w:rsidP="00917386">
      <w:pPr>
        <w:spacing w:after="240" w:line="276" w:lineRule="auto"/>
        <w:jc w:val="left"/>
        <w:rPr>
          <w:rFonts w:ascii="Arial" w:hAnsi="Arial" w:cs="Arial"/>
          <w:i/>
          <w:iCs/>
        </w:rPr>
      </w:pPr>
      <w:r w:rsidRPr="00785460">
        <w:rPr>
          <w:rFonts w:ascii="Arial" w:hAnsi="Arial" w:cs="Arial"/>
          <w:i/>
          <w:iCs/>
        </w:rPr>
        <w:t>Źródło: opracowanie własne na podstawie symulacji modelu VESPA</w:t>
      </w:r>
      <w:r w:rsidR="004033AC" w:rsidRPr="00785460">
        <w:rPr>
          <w:rFonts w:ascii="Arial" w:hAnsi="Arial" w:cs="Arial"/>
          <w:i/>
          <w:iCs/>
        </w:rPr>
        <w:t>.</w:t>
      </w:r>
    </w:p>
    <w:p w14:paraId="25AF337B" w14:textId="3DBAFBDB" w:rsidR="00524DC6" w:rsidRPr="005C3719" w:rsidRDefault="1708A881" w:rsidP="00917386">
      <w:pPr>
        <w:spacing w:after="120" w:line="276" w:lineRule="auto"/>
        <w:jc w:val="left"/>
        <w:rPr>
          <w:rFonts w:ascii="Arial" w:hAnsi="Arial" w:cs="Arial"/>
          <w:sz w:val="18"/>
          <w:szCs w:val="18"/>
        </w:rPr>
      </w:pPr>
      <w:r w:rsidRPr="4A5201E7">
        <w:rPr>
          <w:rFonts w:ascii="Arial" w:hAnsi="Arial" w:cs="Arial"/>
        </w:rPr>
        <w:t xml:space="preserve">Środki unijne </w:t>
      </w:r>
      <w:r w:rsidR="00426504">
        <w:rPr>
          <w:rFonts w:ascii="Arial" w:hAnsi="Arial" w:cs="Arial"/>
        </w:rPr>
        <w:t xml:space="preserve">mają </w:t>
      </w:r>
      <w:r w:rsidRPr="4A5201E7">
        <w:rPr>
          <w:rFonts w:ascii="Arial" w:hAnsi="Arial" w:cs="Arial"/>
        </w:rPr>
        <w:t>szczególnie duże znaczenie dla przyspieszenia tempa konwergencji w</w:t>
      </w:r>
      <w:r w:rsidR="00EF4149" w:rsidRPr="4A5201E7">
        <w:rPr>
          <w:rFonts w:ascii="Arial" w:hAnsi="Arial" w:cs="Arial"/>
        </w:rPr>
        <w:t> </w:t>
      </w:r>
      <w:r w:rsidRPr="4A5201E7">
        <w:rPr>
          <w:rFonts w:ascii="Arial" w:hAnsi="Arial" w:cs="Arial"/>
        </w:rPr>
        <w:t xml:space="preserve">najbiedniejszych polskich regionach, głównie na wschodzie kraju. W regionie </w:t>
      </w:r>
      <w:r w:rsidR="5765C0AA" w:rsidRPr="4A5201E7">
        <w:rPr>
          <w:rFonts w:ascii="Arial" w:hAnsi="Arial" w:cs="Arial"/>
        </w:rPr>
        <w:t>w</w:t>
      </w:r>
      <w:r w:rsidRPr="4A5201E7">
        <w:rPr>
          <w:rFonts w:ascii="Arial" w:hAnsi="Arial" w:cs="Arial"/>
        </w:rPr>
        <w:t>armińsko-</w:t>
      </w:r>
      <w:r w:rsidR="5108F4A3" w:rsidRPr="4A5201E7">
        <w:rPr>
          <w:rFonts w:ascii="Arial" w:hAnsi="Arial" w:cs="Arial"/>
        </w:rPr>
        <w:t>m</w:t>
      </w:r>
      <w:r w:rsidRPr="4A5201E7">
        <w:rPr>
          <w:rFonts w:ascii="Arial" w:hAnsi="Arial" w:cs="Arial"/>
        </w:rPr>
        <w:t>azurskim</w:t>
      </w:r>
      <w:r w:rsidR="00EF4149" w:rsidRPr="4A5201E7">
        <w:rPr>
          <w:rFonts w:ascii="Arial" w:hAnsi="Arial" w:cs="Arial"/>
        </w:rPr>
        <w:t xml:space="preserve"> </w:t>
      </w:r>
      <w:r w:rsidRPr="4A5201E7">
        <w:rPr>
          <w:rFonts w:ascii="Arial" w:hAnsi="Arial" w:cs="Arial"/>
        </w:rPr>
        <w:t xml:space="preserve">luka w PKB per capita względem UE-27 </w:t>
      </w:r>
      <w:r w:rsidR="00426504" w:rsidRPr="4A5201E7">
        <w:rPr>
          <w:rFonts w:ascii="Arial" w:hAnsi="Arial" w:cs="Arial"/>
        </w:rPr>
        <w:t>zmniejsz</w:t>
      </w:r>
      <w:r w:rsidR="00426504">
        <w:rPr>
          <w:rFonts w:ascii="Arial" w:hAnsi="Arial" w:cs="Arial"/>
        </w:rPr>
        <w:t>a</w:t>
      </w:r>
      <w:r w:rsidR="00426504" w:rsidRPr="4A5201E7">
        <w:rPr>
          <w:rFonts w:ascii="Arial" w:hAnsi="Arial" w:cs="Arial"/>
        </w:rPr>
        <w:t xml:space="preserve"> </w:t>
      </w:r>
      <w:r w:rsidRPr="4A5201E7">
        <w:rPr>
          <w:rFonts w:ascii="Arial" w:hAnsi="Arial" w:cs="Arial"/>
        </w:rPr>
        <w:t xml:space="preserve">się </w:t>
      </w:r>
      <w:r w:rsidR="00426504">
        <w:rPr>
          <w:rFonts w:ascii="Arial" w:hAnsi="Arial" w:cs="Arial"/>
        </w:rPr>
        <w:t xml:space="preserve">dzięki nim </w:t>
      </w:r>
      <w:r w:rsidRPr="4A5201E7">
        <w:rPr>
          <w:rFonts w:ascii="Arial" w:hAnsi="Arial" w:cs="Arial"/>
        </w:rPr>
        <w:t xml:space="preserve">średnio o około 3,6 punktu procentowego, natomiast w regionach </w:t>
      </w:r>
      <w:r w:rsidR="5F2A8743" w:rsidRPr="4A5201E7">
        <w:rPr>
          <w:rFonts w:ascii="Arial" w:hAnsi="Arial" w:cs="Arial"/>
        </w:rPr>
        <w:t>p</w:t>
      </w:r>
      <w:r w:rsidRPr="4A5201E7">
        <w:rPr>
          <w:rFonts w:ascii="Arial" w:hAnsi="Arial" w:cs="Arial"/>
        </w:rPr>
        <w:t xml:space="preserve">odlaskim, </w:t>
      </w:r>
      <w:r w:rsidR="77CA347C" w:rsidRPr="4A5201E7">
        <w:rPr>
          <w:rFonts w:ascii="Arial" w:hAnsi="Arial" w:cs="Arial"/>
        </w:rPr>
        <w:t>l</w:t>
      </w:r>
      <w:r w:rsidRPr="4A5201E7">
        <w:rPr>
          <w:rFonts w:ascii="Arial" w:hAnsi="Arial" w:cs="Arial"/>
        </w:rPr>
        <w:t xml:space="preserve">ubelskim i </w:t>
      </w:r>
      <w:r w:rsidR="058B4EA4" w:rsidRPr="4A5201E7">
        <w:rPr>
          <w:rFonts w:ascii="Arial" w:hAnsi="Arial" w:cs="Arial"/>
        </w:rPr>
        <w:t>p</w:t>
      </w:r>
      <w:r w:rsidRPr="4A5201E7">
        <w:rPr>
          <w:rFonts w:ascii="Arial" w:hAnsi="Arial" w:cs="Arial"/>
        </w:rPr>
        <w:t>odkarpackim o około 3,1-3,2 punktu procentowego w</w:t>
      </w:r>
      <w:r w:rsidR="00EF4149" w:rsidRPr="4A5201E7">
        <w:rPr>
          <w:rFonts w:ascii="Arial" w:hAnsi="Arial" w:cs="Arial"/>
        </w:rPr>
        <w:t> </w:t>
      </w:r>
      <w:r w:rsidRPr="4A5201E7">
        <w:rPr>
          <w:rFonts w:ascii="Arial" w:hAnsi="Arial" w:cs="Arial"/>
        </w:rPr>
        <w:t xml:space="preserve">całym okresie, osiągając około 4 punktu procentowego w szczycie wsparcia. Niewiele mniej, bo około 3 punkty procentowe, na wsparciu </w:t>
      </w:r>
      <w:r w:rsidR="00426504" w:rsidRPr="4A5201E7">
        <w:rPr>
          <w:rFonts w:ascii="Arial" w:hAnsi="Arial" w:cs="Arial"/>
        </w:rPr>
        <w:t>zysk</w:t>
      </w:r>
      <w:r w:rsidR="00426504">
        <w:rPr>
          <w:rFonts w:ascii="Arial" w:hAnsi="Arial" w:cs="Arial"/>
        </w:rPr>
        <w:t>ują</w:t>
      </w:r>
      <w:r w:rsidR="00426504" w:rsidRPr="4A5201E7">
        <w:rPr>
          <w:rFonts w:ascii="Arial" w:hAnsi="Arial" w:cs="Arial"/>
        </w:rPr>
        <w:t xml:space="preserve"> </w:t>
      </w:r>
      <w:r w:rsidRPr="4A5201E7">
        <w:rPr>
          <w:rFonts w:ascii="Arial" w:hAnsi="Arial" w:cs="Arial"/>
        </w:rPr>
        <w:t>regiony Polski północnej (</w:t>
      </w:r>
      <w:r w:rsidR="18F9ED2B" w:rsidRPr="4A5201E7">
        <w:rPr>
          <w:rFonts w:ascii="Arial" w:hAnsi="Arial" w:cs="Arial"/>
        </w:rPr>
        <w:t>p</w:t>
      </w:r>
      <w:r w:rsidRPr="4A5201E7">
        <w:rPr>
          <w:rFonts w:ascii="Arial" w:hAnsi="Arial" w:cs="Arial"/>
        </w:rPr>
        <w:t xml:space="preserve">omorskie, </w:t>
      </w:r>
      <w:r w:rsidR="4BF6C8B1" w:rsidRPr="4A5201E7">
        <w:rPr>
          <w:rFonts w:ascii="Arial" w:hAnsi="Arial" w:cs="Arial"/>
        </w:rPr>
        <w:t>z</w:t>
      </w:r>
      <w:r w:rsidRPr="4A5201E7">
        <w:rPr>
          <w:rFonts w:ascii="Arial" w:hAnsi="Arial" w:cs="Arial"/>
        </w:rPr>
        <w:t>achodniopomorskie) oraz centralnej (</w:t>
      </w:r>
      <w:r w:rsidR="412F6EF6" w:rsidRPr="4A5201E7">
        <w:rPr>
          <w:rFonts w:ascii="Arial" w:hAnsi="Arial" w:cs="Arial"/>
        </w:rPr>
        <w:t>ł</w:t>
      </w:r>
      <w:r w:rsidRPr="4A5201E7">
        <w:rPr>
          <w:rFonts w:ascii="Arial" w:hAnsi="Arial" w:cs="Arial"/>
        </w:rPr>
        <w:t xml:space="preserve">ódzkie, </w:t>
      </w:r>
      <w:r w:rsidR="07D4CBA0" w:rsidRPr="4A5201E7">
        <w:rPr>
          <w:rFonts w:ascii="Arial" w:hAnsi="Arial" w:cs="Arial"/>
        </w:rPr>
        <w:t>m</w:t>
      </w:r>
      <w:r w:rsidRPr="4A5201E7">
        <w:rPr>
          <w:rFonts w:ascii="Arial" w:hAnsi="Arial" w:cs="Arial"/>
        </w:rPr>
        <w:t xml:space="preserve">azowieckie i </w:t>
      </w:r>
      <w:r w:rsidR="35AB7BB7" w:rsidRPr="4A5201E7">
        <w:rPr>
          <w:rFonts w:ascii="Arial" w:hAnsi="Arial" w:cs="Arial"/>
        </w:rPr>
        <w:t>ś</w:t>
      </w:r>
      <w:r w:rsidRPr="4A5201E7">
        <w:rPr>
          <w:rFonts w:ascii="Arial" w:hAnsi="Arial" w:cs="Arial"/>
        </w:rPr>
        <w:t xml:space="preserve">więtokrzyskie), które w większym stopniu </w:t>
      </w:r>
      <w:r w:rsidR="00426504" w:rsidRPr="4A5201E7">
        <w:rPr>
          <w:rFonts w:ascii="Arial" w:hAnsi="Arial" w:cs="Arial"/>
        </w:rPr>
        <w:t>korzysta</w:t>
      </w:r>
      <w:r w:rsidR="00426504">
        <w:rPr>
          <w:rFonts w:ascii="Arial" w:hAnsi="Arial" w:cs="Arial"/>
        </w:rPr>
        <w:t>ją</w:t>
      </w:r>
      <w:r w:rsidR="00426504" w:rsidRPr="4A5201E7">
        <w:rPr>
          <w:rFonts w:ascii="Arial" w:hAnsi="Arial" w:cs="Arial"/>
        </w:rPr>
        <w:t xml:space="preserve"> </w:t>
      </w:r>
      <w:r w:rsidRPr="4A5201E7">
        <w:rPr>
          <w:rFonts w:ascii="Arial" w:hAnsi="Arial" w:cs="Arial"/>
        </w:rPr>
        <w:t xml:space="preserve">z efektów rozlewania z innych części kraju. Mniejsze znaczenie dla tempa konwergencji środki unijne </w:t>
      </w:r>
      <w:r w:rsidR="00426504">
        <w:rPr>
          <w:rFonts w:ascii="Arial" w:hAnsi="Arial" w:cs="Arial"/>
        </w:rPr>
        <w:t xml:space="preserve">mają </w:t>
      </w:r>
      <w:r w:rsidRPr="4A5201E7">
        <w:rPr>
          <w:rFonts w:ascii="Arial" w:hAnsi="Arial" w:cs="Arial"/>
        </w:rPr>
        <w:t>w</w:t>
      </w:r>
      <w:r w:rsidR="00EF4149" w:rsidRPr="4A5201E7">
        <w:rPr>
          <w:rFonts w:ascii="Arial" w:hAnsi="Arial" w:cs="Arial"/>
        </w:rPr>
        <w:t> </w:t>
      </w:r>
      <w:r w:rsidRPr="4A5201E7">
        <w:rPr>
          <w:rFonts w:ascii="Arial" w:hAnsi="Arial" w:cs="Arial"/>
        </w:rPr>
        <w:t xml:space="preserve">regionach takich jak Wielkopolska, Dolny Śląsk i Górny Śląsk, gdzie głównym motorem wzrostu pozostaje szybka industrializacja wynikająca z innych przyczyn, takich jak położenie geograficzne, dobre skomunikowanie z innymi krajami UE oraz istniejąca baza produkcyjna. W tych regionach fundusze unijne </w:t>
      </w:r>
      <w:r w:rsidR="00426504">
        <w:rPr>
          <w:rFonts w:ascii="Arial" w:hAnsi="Arial" w:cs="Arial"/>
        </w:rPr>
        <w:t>wspierają</w:t>
      </w:r>
      <w:r w:rsidR="001D17CF">
        <w:rPr>
          <w:rFonts w:ascii="Arial" w:hAnsi="Arial" w:cs="Arial"/>
        </w:rPr>
        <w:t xml:space="preserve"> </w:t>
      </w:r>
      <w:r w:rsidRPr="4A5201E7">
        <w:rPr>
          <w:rFonts w:ascii="Arial" w:hAnsi="Arial" w:cs="Arial"/>
        </w:rPr>
        <w:t>konwergencję o około 2,4-2,7 punktu procentowego.</w:t>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19"/>
        <w:gridCol w:w="47"/>
        <w:gridCol w:w="4666"/>
        <w:gridCol w:w="38"/>
      </w:tblGrid>
      <w:tr w:rsidR="00F15187" w14:paraId="52295CDF" w14:textId="77777777" w:rsidTr="000F3F4B">
        <w:tc>
          <w:tcPr>
            <w:tcW w:w="4341" w:type="dxa"/>
          </w:tcPr>
          <w:p w14:paraId="286FAE5F" w14:textId="6DAF8A84" w:rsidR="00C41CD1" w:rsidRPr="00785460" w:rsidRDefault="00C41CD1" w:rsidP="00F15187">
            <w:pPr>
              <w:pStyle w:val="Legenda"/>
            </w:pPr>
            <w:bookmarkStart w:id="54" w:name="_Toc173834345"/>
            <w:r w:rsidRPr="00785460">
              <w:lastRenderedPageBreak/>
              <w:t xml:space="preserve">Mapa </w:t>
            </w:r>
            <w:r>
              <w:fldChar w:fldCharType="begin"/>
            </w:r>
            <w:r>
              <w:instrText>SEQ Mapa \* ARABIC</w:instrText>
            </w:r>
            <w:r>
              <w:fldChar w:fldCharType="separate"/>
            </w:r>
            <w:r w:rsidR="009962A2">
              <w:rPr>
                <w:noProof/>
              </w:rPr>
              <w:t>3</w:t>
            </w:r>
            <w:r>
              <w:fldChar w:fldCharType="end"/>
            </w:r>
            <w:r w:rsidRPr="00785460">
              <w:rPr>
                <w:rFonts w:eastAsia="Times New Roman"/>
                <w:color w:val="auto"/>
              </w:rPr>
              <w:t xml:space="preserve">. </w:t>
            </w:r>
            <w:r w:rsidRPr="00785460">
              <w:t>Średni wpływ funduszy UE na PKB per capita województw (w proc</w:t>
            </w:r>
            <w:r w:rsidR="003C34B6" w:rsidRPr="00785460">
              <w:t>.</w:t>
            </w:r>
            <w:r w:rsidRPr="00785460">
              <w:t xml:space="preserve"> UE27) w latach 2004-2033</w:t>
            </w:r>
            <w:bookmarkEnd w:id="54"/>
          </w:p>
        </w:tc>
        <w:tc>
          <w:tcPr>
            <w:tcW w:w="4729" w:type="dxa"/>
            <w:gridSpan w:val="3"/>
          </w:tcPr>
          <w:p w14:paraId="6EF89998" w14:textId="5DA728C1" w:rsidR="00C41CD1" w:rsidRPr="00785460" w:rsidRDefault="00C41CD1" w:rsidP="00F15187">
            <w:pPr>
              <w:pStyle w:val="Legenda"/>
            </w:pPr>
            <w:bookmarkStart w:id="55" w:name="_Toc173834318"/>
            <w:r w:rsidRPr="00785460">
              <w:t xml:space="preserve">Wykres </w:t>
            </w:r>
            <w:r>
              <w:fldChar w:fldCharType="begin"/>
            </w:r>
            <w:r>
              <w:instrText>SEQ Wykres \* ARABIC</w:instrText>
            </w:r>
            <w:r>
              <w:fldChar w:fldCharType="separate"/>
            </w:r>
            <w:r w:rsidR="009962A2">
              <w:rPr>
                <w:noProof/>
              </w:rPr>
              <w:t>9</w:t>
            </w:r>
            <w:r>
              <w:fldChar w:fldCharType="end"/>
            </w:r>
            <w:r w:rsidRPr="00785460">
              <w:rPr>
                <w:noProof/>
              </w:rPr>
              <w:t>.</w:t>
            </w:r>
            <w:r w:rsidRPr="00785460">
              <w:t xml:space="preserve"> Średni wpływ funduszy UE na PKB per capita województw (w proc</w:t>
            </w:r>
            <w:r w:rsidR="003C34B6" w:rsidRPr="00785460">
              <w:t>.</w:t>
            </w:r>
            <w:r w:rsidRPr="00785460">
              <w:t xml:space="preserve"> UE27) w latach 2004-202</w:t>
            </w:r>
            <w:r w:rsidR="00016140">
              <w:t>3</w:t>
            </w:r>
            <w:r w:rsidRPr="00785460">
              <w:t xml:space="preserve"> i 202</w:t>
            </w:r>
            <w:r w:rsidR="00016140">
              <w:t>4</w:t>
            </w:r>
            <w:r w:rsidRPr="00785460">
              <w:t>-2033</w:t>
            </w:r>
            <w:bookmarkEnd w:id="55"/>
          </w:p>
        </w:tc>
      </w:tr>
      <w:tr w:rsidR="00F15187" w14:paraId="0044B4D2" w14:textId="77777777" w:rsidTr="000F3F4B">
        <w:tc>
          <w:tcPr>
            <w:tcW w:w="4365" w:type="dxa"/>
            <w:gridSpan w:val="2"/>
          </w:tcPr>
          <w:p w14:paraId="17DCAC35" w14:textId="1F8AC48B" w:rsidR="002D06DE" w:rsidRDefault="00016140" w:rsidP="00F15187">
            <w:pPr>
              <w:spacing w:after="0"/>
              <w:jc w:val="left"/>
              <w:rPr>
                <w:rFonts w:asciiTheme="minorHAnsi" w:hAnsiTheme="minorHAnsi" w:cstheme="minorHAnsi"/>
              </w:rPr>
            </w:pPr>
            <w:r w:rsidRPr="00016140">
              <w:rPr>
                <w:rFonts w:asciiTheme="minorHAnsi" w:hAnsiTheme="minorHAnsi" w:cstheme="minorHAnsi"/>
                <w:noProof/>
              </w:rPr>
              <w:drawing>
                <wp:inline distT="0" distB="0" distL="0" distR="0" wp14:anchorId="6F4D19DF" wp14:editId="22E44D3B">
                  <wp:extent cx="2664548" cy="2638425"/>
                  <wp:effectExtent l="0" t="0" r="2540" b="0"/>
                  <wp:docPr id="1304026743" name="Obraz 22" descr="Mapa 3. Średni wpływ funduszy UE na PKB per capita województw (w proc. UE27) w latach 2004-2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4026743" name="Obraz 22" descr="Mapa 3. Średni wpływ funduszy UE na PKB per capita województw (w proc. UE27) w latach 2004-203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668512" cy="2642350"/>
                          </a:xfrm>
                          <a:prstGeom prst="rect">
                            <a:avLst/>
                          </a:prstGeom>
                          <a:noFill/>
                          <a:ln>
                            <a:noFill/>
                          </a:ln>
                        </pic:spPr>
                      </pic:pic>
                    </a:graphicData>
                  </a:graphic>
                </wp:inline>
              </w:drawing>
            </w:r>
          </w:p>
        </w:tc>
        <w:tc>
          <w:tcPr>
            <w:tcW w:w="4705" w:type="dxa"/>
            <w:gridSpan w:val="2"/>
          </w:tcPr>
          <w:p w14:paraId="07C734E4" w14:textId="2411261F" w:rsidR="002D06DE" w:rsidRDefault="00016140" w:rsidP="00F15187">
            <w:pPr>
              <w:spacing w:after="0"/>
              <w:jc w:val="left"/>
              <w:rPr>
                <w:rFonts w:asciiTheme="minorHAnsi" w:hAnsiTheme="minorHAnsi" w:cstheme="minorHAnsi"/>
              </w:rPr>
            </w:pPr>
            <w:r w:rsidRPr="00016140">
              <w:rPr>
                <w:rFonts w:asciiTheme="minorHAnsi" w:hAnsiTheme="minorHAnsi" w:cstheme="minorHAnsi"/>
                <w:noProof/>
              </w:rPr>
              <w:drawing>
                <wp:inline distT="0" distB="0" distL="0" distR="0" wp14:anchorId="3918F1B5" wp14:editId="45D7F6EA">
                  <wp:extent cx="2886075" cy="2767143"/>
                  <wp:effectExtent l="0" t="0" r="0" b="0"/>
                  <wp:docPr id="643380391" name="Obraz 23" descr="Wykres 9. Średni wpływ funduszy UE na PKB per capita województw (w proc. UE27) w latach 2004-2023 i 2024-2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3380391" name="Obraz 23" descr="Wykres 9. Średni wpływ funduszy UE na PKB per capita województw (w proc. UE27) w latach 2004-2023 i 2024-203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892651" cy="2773448"/>
                          </a:xfrm>
                          <a:prstGeom prst="rect">
                            <a:avLst/>
                          </a:prstGeom>
                          <a:noFill/>
                          <a:ln>
                            <a:noFill/>
                          </a:ln>
                        </pic:spPr>
                      </pic:pic>
                    </a:graphicData>
                  </a:graphic>
                </wp:inline>
              </w:drawing>
            </w:r>
          </w:p>
        </w:tc>
      </w:tr>
      <w:tr w:rsidR="00F15187" w:rsidRPr="00785460" w14:paraId="6741CD71" w14:textId="77777777" w:rsidTr="000F3F4B">
        <w:trPr>
          <w:gridAfter w:val="1"/>
          <w:wAfter w:w="13" w:type="dxa"/>
        </w:trPr>
        <w:tc>
          <w:tcPr>
            <w:tcW w:w="4394" w:type="dxa"/>
            <w:gridSpan w:val="2"/>
          </w:tcPr>
          <w:p w14:paraId="38E86058" w14:textId="77777777" w:rsidR="000F3F4B" w:rsidRPr="00785460" w:rsidRDefault="000F3F4B" w:rsidP="00F15187">
            <w:pPr>
              <w:spacing w:after="240" w:line="276" w:lineRule="auto"/>
              <w:jc w:val="left"/>
              <w:rPr>
                <w:rFonts w:ascii="Arial" w:hAnsi="Arial" w:cs="Arial"/>
                <w:i/>
                <w:iCs/>
              </w:rPr>
            </w:pPr>
            <w:r w:rsidRPr="00785460">
              <w:rPr>
                <w:rFonts w:ascii="Arial" w:hAnsi="Arial" w:cs="Arial"/>
                <w:i/>
                <w:iCs/>
              </w:rPr>
              <w:t>Źródło: opracowanie własne na podstawie symulacji modelu VESPA.</w:t>
            </w:r>
          </w:p>
        </w:tc>
        <w:tc>
          <w:tcPr>
            <w:tcW w:w="4663" w:type="dxa"/>
          </w:tcPr>
          <w:p w14:paraId="45C4D3C7" w14:textId="77777777" w:rsidR="000F3F4B" w:rsidRPr="00785460" w:rsidRDefault="000F3F4B" w:rsidP="00F15187">
            <w:pPr>
              <w:spacing w:after="240" w:line="276" w:lineRule="auto"/>
              <w:jc w:val="left"/>
              <w:rPr>
                <w:rFonts w:ascii="Arial" w:hAnsi="Arial" w:cs="Arial"/>
                <w:i/>
                <w:iCs/>
              </w:rPr>
            </w:pPr>
            <w:r w:rsidRPr="00785460">
              <w:rPr>
                <w:rFonts w:ascii="Arial" w:hAnsi="Arial" w:cs="Arial"/>
                <w:i/>
                <w:iCs/>
              </w:rPr>
              <w:t>Źródło: opracowanie własne na podstawie symulacji modelu VESPA.</w:t>
            </w:r>
          </w:p>
        </w:tc>
      </w:tr>
    </w:tbl>
    <w:p w14:paraId="63CA1CC5" w14:textId="79EF8AAD" w:rsidR="002D06DE" w:rsidRPr="00785460" w:rsidRDefault="00F74864" w:rsidP="00F15187">
      <w:pPr>
        <w:pStyle w:val="Legenda"/>
      </w:pPr>
      <w:bookmarkStart w:id="56" w:name="_Toc173834319"/>
      <w:r w:rsidRPr="00785460">
        <w:t xml:space="preserve">Wykres </w:t>
      </w:r>
      <w:fldSimple w:instr=" SEQ Wykres \* ARABIC ">
        <w:r w:rsidR="009962A2">
          <w:rPr>
            <w:noProof/>
          </w:rPr>
          <w:t>10</w:t>
        </w:r>
      </w:fldSimple>
      <w:r w:rsidRPr="00785460">
        <w:rPr>
          <w:noProof/>
        </w:rPr>
        <w:t>.</w:t>
      </w:r>
      <w:r w:rsidRPr="00785460">
        <w:t xml:space="preserve"> Wpływ funduszy UE na PKB per capita Polski Wschodniej w relacji do średniej UE-27 (wg PPS)</w:t>
      </w:r>
      <w:bookmarkEnd w:id="56"/>
    </w:p>
    <w:p w14:paraId="35F2C2F8" w14:textId="7578D150" w:rsidR="00F74864" w:rsidRDefault="00016140" w:rsidP="00F15187">
      <w:pPr>
        <w:spacing w:after="0"/>
        <w:jc w:val="left"/>
      </w:pPr>
      <w:r w:rsidRPr="00016140">
        <w:rPr>
          <w:noProof/>
        </w:rPr>
        <w:drawing>
          <wp:inline distT="0" distB="0" distL="0" distR="0" wp14:anchorId="7FE44338" wp14:editId="403301B7">
            <wp:extent cx="5759450" cy="3186430"/>
            <wp:effectExtent l="0" t="0" r="0" b="0"/>
            <wp:docPr id="900457093" name="Obraz 24" descr="Wykres 10. Wpływ funduszy UE na PKB per capita Polski Wschodniej w relacji do średniej UE-27 (wg P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0457093" name="Obraz 24" descr="Wykres 10. Wpływ funduszy UE na PKB per capita Polski Wschodniej w relacji do średniej UE-27 (wg PPS)"/>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759450" cy="3186430"/>
                    </a:xfrm>
                    <a:prstGeom prst="rect">
                      <a:avLst/>
                    </a:prstGeom>
                    <a:noFill/>
                    <a:ln>
                      <a:noFill/>
                    </a:ln>
                  </pic:spPr>
                </pic:pic>
              </a:graphicData>
            </a:graphic>
          </wp:inline>
        </w:drawing>
      </w:r>
    </w:p>
    <w:p w14:paraId="16920AC7" w14:textId="3C7C8103" w:rsidR="00F74864" w:rsidRPr="00785460" w:rsidRDefault="00F74864" w:rsidP="00F15187">
      <w:pPr>
        <w:spacing w:after="240" w:line="276" w:lineRule="auto"/>
        <w:jc w:val="left"/>
        <w:rPr>
          <w:rFonts w:ascii="Arial" w:hAnsi="Arial" w:cs="Arial"/>
          <w:i/>
          <w:iCs/>
        </w:rPr>
      </w:pPr>
      <w:r w:rsidRPr="00785460">
        <w:rPr>
          <w:rFonts w:ascii="Arial" w:hAnsi="Arial" w:cs="Arial"/>
          <w:i/>
          <w:iCs/>
        </w:rPr>
        <w:t>Źródło: opracowanie własne na podstawie symulacji modelu VESPA</w:t>
      </w:r>
      <w:r w:rsidR="004033AC" w:rsidRPr="00785460">
        <w:rPr>
          <w:rFonts w:ascii="Arial" w:hAnsi="Arial" w:cs="Arial"/>
          <w:i/>
          <w:iCs/>
        </w:rPr>
        <w:t>.</w:t>
      </w:r>
    </w:p>
    <w:p w14:paraId="74452C24" w14:textId="77777777" w:rsidR="006C3C8A" w:rsidRDefault="006C3C8A" w:rsidP="00F15187">
      <w:pPr>
        <w:spacing w:after="0"/>
        <w:jc w:val="left"/>
        <w:rPr>
          <w:rFonts w:ascii="Calibri Light" w:hAnsi="Calibri Light"/>
          <w:b/>
          <w:caps/>
          <w:color w:val="FFFFFF"/>
          <w:spacing w:val="15"/>
          <w:sz w:val="26"/>
          <w:szCs w:val="26"/>
        </w:rPr>
      </w:pPr>
      <w:r>
        <w:br w:type="page"/>
      </w:r>
    </w:p>
    <w:p w14:paraId="6B9E7F3C" w14:textId="1E8876E0" w:rsidR="000D1E8C" w:rsidRPr="00917386" w:rsidRDefault="000D1E8C" w:rsidP="00917386">
      <w:pPr>
        <w:pStyle w:val="Styl1"/>
        <w:jc w:val="left"/>
        <w:rPr>
          <w:color w:val="3C3C3C"/>
        </w:rPr>
      </w:pPr>
      <w:bookmarkStart w:id="57" w:name="_Toc176241623"/>
      <w:r w:rsidRPr="00917386">
        <w:rPr>
          <w:color w:val="3C3C3C"/>
        </w:rPr>
        <w:lastRenderedPageBreak/>
        <w:t xml:space="preserve">Wpływ na zróżnicowanie regionalne PKB </w:t>
      </w:r>
      <w:r w:rsidR="00B60CAA" w:rsidRPr="00917386">
        <w:rPr>
          <w:color w:val="3C3C3C"/>
        </w:rPr>
        <w:t>per capita</w:t>
      </w:r>
      <w:bookmarkEnd w:id="57"/>
    </w:p>
    <w:p w14:paraId="08A3E611" w14:textId="1EC2845E" w:rsidR="00524DC6" w:rsidRPr="005C3719" w:rsidRDefault="00795065" w:rsidP="00917386">
      <w:pPr>
        <w:spacing w:after="120" w:line="276" w:lineRule="auto"/>
        <w:jc w:val="left"/>
        <w:rPr>
          <w:rFonts w:ascii="Arial" w:hAnsi="Arial" w:cs="Arial"/>
        </w:rPr>
      </w:pPr>
      <w:bookmarkStart w:id="58" w:name="_Hlk136006507"/>
      <w:r w:rsidRPr="00795065">
        <w:rPr>
          <w:rFonts w:ascii="Arial" w:hAnsi="Arial" w:cs="Arial"/>
        </w:rPr>
        <w:t>Cechą charakterystyczną polskiego wzrostu gospodarczego jest stopniowy wzrost zróżnicowania PKB per capita na poziomie N</w:t>
      </w:r>
      <w:r w:rsidR="00FD1448">
        <w:rPr>
          <w:rFonts w:ascii="Arial" w:hAnsi="Arial" w:cs="Arial"/>
        </w:rPr>
        <w:t>U</w:t>
      </w:r>
      <w:r w:rsidRPr="00795065">
        <w:rPr>
          <w:rFonts w:ascii="Arial" w:hAnsi="Arial" w:cs="Arial"/>
        </w:rPr>
        <w:t>TS3. Zjawisko to związane jest z długotrwałym trendem migracyjnym, w</w:t>
      </w:r>
      <w:r w:rsidR="00EF4149">
        <w:rPr>
          <w:rFonts w:ascii="Arial" w:hAnsi="Arial" w:cs="Arial"/>
        </w:rPr>
        <w:t> </w:t>
      </w:r>
      <w:r w:rsidRPr="00795065">
        <w:rPr>
          <w:rFonts w:ascii="Arial" w:hAnsi="Arial" w:cs="Arial"/>
        </w:rPr>
        <w:t>ramach którego ludność Polski przenosi się stopniowo do największych ośrodków miejskich, gdzie koncentruje się większość aktywności gospodarczej kraju. Symulacje pokazują, że chociaż wydatkowanie funduszy UE nie odwróciło tego procesu, to pozwoliło na częściowe jego zahamowanie i zmniejszenie intensywności. Szacujemy, że w latach 2010-2025 wskaźnik zróżnicowania PKB per</w:t>
      </w:r>
      <w:r w:rsidR="00EF4149">
        <w:rPr>
          <w:rFonts w:ascii="Arial" w:hAnsi="Arial" w:cs="Arial"/>
        </w:rPr>
        <w:t> </w:t>
      </w:r>
      <w:r w:rsidRPr="00795065">
        <w:rPr>
          <w:rFonts w:ascii="Arial" w:hAnsi="Arial" w:cs="Arial"/>
        </w:rPr>
        <w:t xml:space="preserve">capita </w:t>
      </w:r>
      <w:r w:rsidR="00426504">
        <w:rPr>
          <w:rFonts w:ascii="Arial" w:hAnsi="Arial" w:cs="Arial"/>
        </w:rPr>
        <w:t xml:space="preserve">jest </w:t>
      </w:r>
      <w:r w:rsidRPr="00795065">
        <w:rPr>
          <w:rFonts w:ascii="Arial" w:hAnsi="Arial" w:cs="Arial"/>
        </w:rPr>
        <w:t>w scenariuszu z funduszami o około 0,5-1 punktu procentowego niższy niż w scenariuszu „bez funduszy”.</w:t>
      </w:r>
      <w:r>
        <w:rPr>
          <w:rFonts w:ascii="Arial" w:hAnsi="Arial" w:cs="Arial"/>
        </w:rPr>
        <w:t xml:space="preserve"> </w:t>
      </w:r>
      <w:r w:rsidRPr="00795065">
        <w:rPr>
          <w:rFonts w:ascii="Arial" w:hAnsi="Arial" w:cs="Arial"/>
        </w:rPr>
        <w:t>Podobnie jak w przypadku tempa konwergencji i PKB per capita</w:t>
      </w:r>
      <w:r w:rsidR="00426504">
        <w:rPr>
          <w:rFonts w:ascii="Arial" w:hAnsi="Arial" w:cs="Arial"/>
        </w:rPr>
        <w:t xml:space="preserve"> spodziewamy się</w:t>
      </w:r>
      <w:r w:rsidRPr="00795065">
        <w:rPr>
          <w:rFonts w:ascii="Arial" w:hAnsi="Arial" w:cs="Arial"/>
        </w:rPr>
        <w:t xml:space="preserve">, </w:t>
      </w:r>
      <w:r w:rsidR="00426504">
        <w:rPr>
          <w:rFonts w:ascii="Arial" w:hAnsi="Arial" w:cs="Arial"/>
        </w:rPr>
        <w:t xml:space="preserve">że </w:t>
      </w:r>
      <w:r w:rsidRPr="00795065">
        <w:rPr>
          <w:rFonts w:ascii="Arial" w:hAnsi="Arial" w:cs="Arial"/>
        </w:rPr>
        <w:t>efekt ten będzie stopniowo zanikał po 2025 roku, gdy zakończy się finansowanie z KPO i UP 2021-2027. Kolejna perspektywa finansowa UE, rezerwująca środki rozwojowe dla Polski w wysokości 1,5-2% PKB, mogłaby prawdopodobnie utrzymać poziom zróżnicowania podregionalnego PKB per capita na poziomie zbliżonym do lat 2017-2024 przynajmniej do połowy lat 30.</w:t>
      </w:r>
    </w:p>
    <w:p w14:paraId="7B12F1CD" w14:textId="602E0DAB" w:rsidR="000D1E8C" w:rsidRPr="00785460" w:rsidRDefault="00F74864" w:rsidP="00F15187">
      <w:pPr>
        <w:pStyle w:val="Legenda"/>
      </w:pPr>
      <w:bookmarkStart w:id="59" w:name="_Toc173834320"/>
      <w:bookmarkEnd w:id="58"/>
      <w:r w:rsidRPr="00785460">
        <w:t xml:space="preserve">Wykres </w:t>
      </w:r>
      <w:fldSimple w:instr=" SEQ Wykres \* ARABIC ">
        <w:r w:rsidR="009962A2">
          <w:rPr>
            <w:noProof/>
          </w:rPr>
          <w:t>11</w:t>
        </w:r>
      </w:fldSimple>
      <w:r w:rsidRPr="00785460">
        <w:rPr>
          <w:noProof/>
        </w:rPr>
        <w:t>.</w:t>
      </w:r>
      <w:r w:rsidRPr="00785460">
        <w:t xml:space="preserve"> Wpływ funduszy UE na PKB zróżnicowanie regionalne PKB per capita (NTS3)</w:t>
      </w:r>
      <w:bookmarkEnd w:id="59"/>
    </w:p>
    <w:p w14:paraId="7F80C672" w14:textId="0434A17B" w:rsidR="00F74864" w:rsidRDefault="00EF167C" w:rsidP="00F15187">
      <w:pPr>
        <w:spacing w:after="0"/>
        <w:jc w:val="left"/>
        <w:rPr>
          <w:rFonts w:asciiTheme="minorHAnsi" w:hAnsiTheme="minorHAnsi" w:cstheme="minorHAnsi"/>
        </w:rPr>
      </w:pPr>
      <w:r w:rsidRPr="00EF167C">
        <w:rPr>
          <w:noProof/>
        </w:rPr>
        <w:drawing>
          <wp:inline distT="0" distB="0" distL="0" distR="0" wp14:anchorId="2E0E0F93" wp14:editId="67E75925">
            <wp:extent cx="5759450" cy="3144520"/>
            <wp:effectExtent l="0" t="0" r="0" b="0"/>
            <wp:docPr id="1277946256" name="Obraz 25" descr="Wykres 11. Wpływ funduszy UE na PKB zróżnicowanie regionalne PKB per capita (NT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7946256" name="Obraz 25" descr="Wykres 11. Wpływ funduszy UE na PKB zróżnicowanie regionalne PKB per capita (NTS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759450" cy="3144520"/>
                    </a:xfrm>
                    <a:prstGeom prst="rect">
                      <a:avLst/>
                    </a:prstGeom>
                    <a:noFill/>
                    <a:ln>
                      <a:noFill/>
                    </a:ln>
                  </pic:spPr>
                </pic:pic>
              </a:graphicData>
            </a:graphic>
          </wp:inline>
        </w:drawing>
      </w:r>
    </w:p>
    <w:p w14:paraId="7E3D2DAD" w14:textId="189EA08D" w:rsidR="00F74864" w:rsidRPr="00785460" w:rsidRDefault="00F74864" w:rsidP="00F15187">
      <w:pPr>
        <w:spacing w:after="240" w:line="276" w:lineRule="auto"/>
        <w:jc w:val="left"/>
        <w:rPr>
          <w:rFonts w:ascii="Arial" w:hAnsi="Arial" w:cs="Arial"/>
          <w:i/>
          <w:iCs/>
        </w:rPr>
      </w:pPr>
      <w:r w:rsidRPr="00785460">
        <w:rPr>
          <w:rFonts w:ascii="Arial" w:hAnsi="Arial" w:cs="Arial"/>
          <w:i/>
          <w:iCs/>
        </w:rPr>
        <w:t>Źródło: opracowanie własne na podstawie symulacji modelu VESPA</w:t>
      </w:r>
      <w:r w:rsidR="004033AC" w:rsidRPr="00785460">
        <w:rPr>
          <w:rFonts w:ascii="Arial" w:hAnsi="Arial" w:cs="Arial"/>
          <w:i/>
          <w:iCs/>
        </w:rPr>
        <w:t>.</w:t>
      </w:r>
    </w:p>
    <w:p w14:paraId="15491A8F" w14:textId="476101C5" w:rsidR="009620E7" w:rsidRPr="00917386" w:rsidRDefault="009620E7" w:rsidP="00917386">
      <w:pPr>
        <w:pStyle w:val="Styl1"/>
        <w:jc w:val="left"/>
        <w:rPr>
          <w:color w:val="3C3C3C"/>
        </w:rPr>
      </w:pPr>
      <w:bookmarkStart w:id="60" w:name="_Toc176241624"/>
      <w:r w:rsidRPr="00917386">
        <w:rPr>
          <w:color w:val="3C3C3C"/>
        </w:rPr>
        <w:t>Wpływ na inwestycje</w:t>
      </w:r>
      <w:bookmarkEnd w:id="60"/>
      <w:r w:rsidR="0092400C" w:rsidRPr="00917386">
        <w:rPr>
          <w:color w:val="3C3C3C"/>
        </w:rPr>
        <w:t xml:space="preserve"> </w:t>
      </w:r>
    </w:p>
    <w:p w14:paraId="4D67439B" w14:textId="5801074A" w:rsidR="00461779" w:rsidRPr="005C3719" w:rsidRDefault="1708A881" w:rsidP="00917386">
      <w:pPr>
        <w:spacing w:after="120" w:line="276" w:lineRule="auto"/>
        <w:jc w:val="left"/>
        <w:rPr>
          <w:rFonts w:ascii="Arial" w:hAnsi="Arial" w:cs="Arial"/>
        </w:rPr>
      </w:pPr>
      <w:bookmarkStart w:id="61" w:name="_Hlk136006519"/>
      <w:r w:rsidRPr="4A5201E7">
        <w:rPr>
          <w:rFonts w:ascii="Arial" w:hAnsi="Arial" w:cs="Arial"/>
        </w:rPr>
        <w:t xml:space="preserve">Głównym źródłem pozytywnego oddziaływania funduszy UE na wzrost gospodarczy </w:t>
      </w:r>
      <w:r w:rsidR="00426504">
        <w:rPr>
          <w:rFonts w:ascii="Arial" w:hAnsi="Arial" w:cs="Arial"/>
        </w:rPr>
        <w:t xml:space="preserve">jest </w:t>
      </w:r>
      <w:r w:rsidRPr="4A5201E7">
        <w:rPr>
          <w:rFonts w:ascii="Arial" w:hAnsi="Arial" w:cs="Arial"/>
        </w:rPr>
        <w:t xml:space="preserve">ich bezpośrednie przełożenie na inwestycje. Symulacje modelu VESPA wskazują, że dzięki polityce spójności i innym zbliżonym instrumentom, realizowanym w ramach KPO oraz PROW, poziom inwestycji w Polsce </w:t>
      </w:r>
      <w:r w:rsidR="00426504">
        <w:rPr>
          <w:rFonts w:ascii="Arial" w:hAnsi="Arial" w:cs="Arial"/>
        </w:rPr>
        <w:t xml:space="preserve">jest </w:t>
      </w:r>
      <w:r w:rsidRPr="4A5201E7">
        <w:rPr>
          <w:rFonts w:ascii="Arial" w:hAnsi="Arial" w:cs="Arial"/>
        </w:rPr>
        <w:t>o około 20-30% wyższy w latach 2011-2029 niż w scenariuszu kontrfaktycznym („bez funduszy”). Oznacza to, że w tym czasie do gospodarki trafia każdego roku nawet 100 miliardów PLN środków inwestycyjnych więcej niż byłoby to możliwe bez wsparcia, podnosząc stopę inwestycji o około 2-3 punkty procentowe rocznie. Główne powody tego wzrostu to</w:t>
      </w:r>
      <w:r w:rsidR="00EF4149" w:rsidRPr="4A5201E7">
        <w:rPr>
          <w:rFonts w:ascii="Arial" w:hAnsi="Arial" w:cs="Arial"/>
        </w:rPr>
        <w:t> </w:t>
      </w:r>
      <w:r w:rsidRPr="4A5201E7">
        <w:rPr>
          <w:rFonts w:ascii="Arial" w:hAnsi="Arial" w:cs="Arial"/>
        </w:rPr>
        <w:t xml:space="preserve">bezpośrednio inwestycyjny charakter wydatków unijnych (infrastruktura podstawowa) oraz ich komplementarność względem wydatków inwestycyjnych firm (bezpośrednie wsparcie przedsiębiorstw). W rezultacie wzrosły zarówno inwestycje publiczne, jak i prywatne, przy czym w przypadku tych pierwszych efekt względny był znacznie większy, głównie ze względu na niski poziom </w:t>
      </w:r>
      <w:r w:rsidRPr="4A5201E7">
        <w:rPr>
          <w:rFonts w:ascii="Arial" w:hAnsi="Arial" w:cs="Arial"/>
        </w:rPr>
        <w:lastRenderedPageBreak/>
        <w:t xml:space="preserve">wyjściowy. Środki UE pozwoliły na podwojenie wydatków infrastrukturalnych państwa bez konieczności zwiększania podatków lub długu publicznego. W przypadku inwestycji prywatnych efekt ten </w:t>
      </w:r>
      <w:r w:rsidR="00426504">
        <w:rPr>
          <w:rFonts w:ascii="Arial" w:hAnsi="Arial" w:cs="Arial"/>
        </w:rPr>
        <w:t>jest</w:t>
      </w:r>
      <w:r w:rsidR="00426504" w:rsidRPr="4A5201E7">
        <w:rPr>
          <w:rFonts w:ascii="Arial" w:hAnsi="Arial" w:cs="Arial"/>
        </w:rPr>
        <w:t xml:space="preserve"> </w:t>
      </w:r>
      <w:r w:rsidRPr="4A5201E7">
        <w:rPr>
          <w:rFonts w:ascii="Arial" w:hAnsi="Arial" w:cs="Arial"/>
        </w:rPr>
        <w:t xml:space="preserve">mniejszy (około 10%), ale nadal znaczący. Fundusze UE </w:t>
      </w:r>
      <w:r w:rsidR="00426504">
        <w:rPr>
          <w:rFonts w:ascii="Arial" w:hAnsi="Arial" w:cs="Arial"/>
        </w:rPr>
        <w:t xml:space="preserve">mają </w:t>
      </w:r>
      <w:r w:rsidRPr="4A5201E7">
        <w:rPr>
          <w:rFonts w:ascii="Arial" w:hAnsi="Arial" w:cs="Arial"/>
        </w:rPr>
        <w:t>szczególnie duże znaczenie dla nakładów na inwestycje w</w:t>
      </w:r>
      <w:r w:rsidR="00EF4149" w:rsidRPr="4A5201E7">
        <w:rPr>
          <w:rFonts w:ascii="Arial" w:hAnsi="Arial" w:cs="Arial"/>
        </w:rPr>
        <w:t> </w:t>
      </w:r>
      <w:r w:rsidRPr="4A5201E7">
        <w:rPr>
          <w:rFonts w:ascii="Arial" w:hAnsi="Arial" w:cs="Arial"/>
        </w:rPr>
        <w:t xml:space="preserve">regionie Polski Wschodniej, gdzie stopa inwestycji w całym okresie 2004-2033 </w:t>
      </w:r>
      <w:r w:rsidR="00426504">
        <w:rPr>
          <w:rFonts w:ascii="Arial" w:hAnsi="Arial" w:cs="Arial"/>
        </w:rPr>
        <w:t xml:space="preserve">rośnie </w:t>
      </w:r>
      <w:r w:rsidRPr="4A5201E7">
        <w:rPr>
          <w:rFonts w:ascii="Arial" w:hAnsi="Arial" w:cs="Arial"/>
        </w:rPr>
        <w:t>o około 4</w:t>
      </w:r>
      <w:r w:rsidR="00EF4149" w:rsidRPr="4A5201E7">
        <w:rPr>
          <w:rFonts w:ascii="Arial" w:hAnsi="Arial" w:cs="Arial"/>
        </w:rPr>
        <w:t> </w:t>
      </w:r>
      <w:r w:rsidRPr="4A5201E7">
        <w:rPr>
          <w:rFonts w:ascii="Arial" w:hAnsi="Arial" w:cs="Arial"/>
        </w:rPr>
        <w:t>punkty procentowe, a w szczycie wsparcia (około roku 2012) nawet 7 punktów procentowych. W</w:t>
      </w:r>
      <w:r w:rsidR="00EF4149" w:rsidRPr="4A5201E7">
        <w:rPr>
          <w:rFonts w:ascii="Arial" w:hAnsi="Arial" w:cs="Arial"/>
        </w:rPr>
        <w:t> </w:t>
      </w:r>
      <w:r w:rsidRPr="4A5201E7">
        <w:rPr>
          <w:rFonts w:ascii="Arial" w:hAnsi="Arial" w:cs="Arial"/>
        </w:rPr>
        <w:t xml:space="preserve">większości pozostałych województw (poza </w:t>
      </w:r>
      <w:r w:rsidR="28C8CA27" w:rsidRPr="4A5201E7">
        <w:rPr>
          <w:rFonts w:ascii="Arial" w:hAnsi="Arial" w:cs="Arial"/>
        </w:rPr>
        <w:t>z</w:t>
      </w:r>
      <w:r w:rsidRPr="4A5201E7">
        <w:rPr>
          <w:rFonts w:ascii="Arial" w:hAnsi="Arial" w:cs="Arial"/>
        </w:rPr>
        <w:t>achodniopomorskim) efekt ten był dwu-, a nawet trzykrotnie (</w:t>
      </w:r>
      <w:r w:rsidR="0B81FDA1" w:rsidRPr="4A5201E7">
        <w:rPr>
          <w:rFonts w:ascii="Arial" w:hAnsi="Arial" w:cs="Arial"/>
        </w:rPr>
        <w:t>m</w:t>
      </w:r>
      <w:r w:rsidRPr="4A5201E7">
        <w:rPr>
          <w:rFonts w:ascii="Arial" w:hAnsi="Arial" w:cs="Arial"/>
        </w:rPr>
        <w:t>azowieckie) mniejszy, co wynika zarówno z mniejszej skali środków wspierających inwestycje w tych regionach w porównaniu do wytwarzanego w nich PKB, jak i z wyższej stopy inwestycji w tych regionach już w scenariuszu kontrfaktycznym, wynikającej z wyższego poziomu industrializacji tych województw w porównaniu do Polski Wschodniej.</w:t>
      </w:r>
    </w:p>
    <w:p w14:paraId="0F28A072" w14:textId="783FF134" w:rsidR="00F74864" w:rsidRPr="00785460" w:rsidRDefault="00F74864" w:rsidP="00F15187">
      <w:pPr>
        <w:pStyle w:val="Legenda"/>
        <w:rPr>
          <w:sz w:val="22"/>
          <w:szCs w:val="22"/>
        </w:rPr>
      </w:pPr>
      <w:bookmarkStart w:id="62" w:name="_Toc173834321"/>
      <w:r w:rsidRPr="00785460">
        <w:t xml:space="preserve">Wykres </w:t>
      </w:r>
      <w:fldSimple w:instr=" SEQ Wykres \* ARABIC ">
        <w:r w:rsidR="009962A2">
          <w:rPr>
            <w:noProof/>
          </w:rPr>
          <w:t>12</w:t>
        </w:r>
      </w:fldSimple>
      <w:r w:rsidRPr="00785460">
        <w:rPr>
          <w:noProof/>
        </w:rPr>
        <w:t>.</w:t>
      </w:r>
      <w:r w:rsidRPr="00785460">
        <w:t xml:space="preserve"> Wpływ funduszy UE na inwestycje w cenach bieżących</w:t>
      </w:r>
      <w:bookmarkEnd w:id="62"/>
    </w:p>
    <w:bookmarkEnd w:id="61"/>
    <w:p w14:paraId="343CE971" w14:textId="17F20F44" w:rsidR="00CA43DE" w:rsidRDefault="00767B33" w:rsidP="00917386">
      <w:pPr>
        <w:spacing w:after="0"/>
        <w:jc w:val="left"/>
        <w:rPr>
          <w:rFonts w:asciiTheme="minorHAnsi" w:hAnsiTheme="minorHAnsi" w:cstheme="minorHAnsi"/>
          <w:sz w:val="22"/>
          <w:szCs w:val="22"/>
        </w:rPr>
      </w:pPr>
      <w:r w:rsidRPr="00767B33">
        <w:rPr>
          <w:noProof/>
        </w:rPr>
        <w:drawing>
          <wp:inline distT="0" distB="0" distL="0" distR="0" wp14:anchorId="70319D45" wp14:editId="2E07D77E">
            <wp:extent cx="5359180" cy="2996296"/>
            <wp:effectExtent l="0" t="0" r="0" b="0"/>
            <wp:docPr id="996545460" name="Obraz 14" descr="Wykres 12. Wpływ funduszy UE na inwestycje w cenach bieżący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6545460" name="Obraz 14" descr="Wykres 12. Wpływ funduszy UE na inwestycje w cenach bieżących"/>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361797" cy="2997759"/>
                    </a:xfrm>
                    <a:prstGeom prst="rect">
                      <a:avLst/>
                    </a:prstGeom>
                    <a:noFill/>
                    <a:ln>
                      <a:noFill/>
                    </a:ln>
                  </pic:spPr>
                </pic:pic>
              </a:graphicData>
            </a:graphic>
          </wp:inline>
        </w:drawing>
      </w:r>
    </w:p>
    <w:p w14:paraId="4DDBA06C" w14:textId="6A1E82C0" w:rsidR="00F74864" w:rsidRPr="00785460" w:rsidRDefault="00F74864" w:rsidP="00917386">
      <w:pPr>
        <w:spacing w:after="240" w:line="276" w:lineRule="auto"/>
        <w:jc w:val="left"/>
        <w:rPr>
          <w:rFonts w:ascii="Arial" w:hAnsi="Arial" w:cs="Arial"/>
          <w:i/>
          <w:iCs/>
        </w:rPr>
      </w:pPr>
      <w:r w:rsidRPr="00785460">
        <w:rPr>
          <w:rFonts w:ascii="Arial" w:hAnsi="Arial" w:cs="Arial"/>
          <w:i/>
          <w:iCs/>
        </w:rPr>
        <w:t>Źródło: opracowanie własne na podstawie symulacji modelu VESPA</w:t>
      </w:r>
      <w:r w:rsidR="004033AC" w:rsidRPr="00785460">
        <w:rPr>
          <w:rFonts w:ascii="Arial" w:hAnsi="Arial" w:cs="Arial"/>
          <w:i/>
          <w:iCs/>
        </w:rPr>
        <w:t>.</w:t>
      </w:r>
    </w:p>
    <w:p w14:paraId="5DB96025" w14:textId="7F04C338" w:rsidR="005226EE" w:rsidRPr="00785460" w:rsidRDefault="00F74864" w:rsidP="00F15187">
      <w:pPr>
        <w:pStyle w:val="Legenda"/>
      </w:pPr>
      <w:bookmarkStart w:id="63" w:name="_Toc173834322"/>
      <w:r w:rsidRPr="00785460">
        <w:t xml:space="preserve">Wykres </w:t>
      </w:r>
      <w:fldSimple w:instr=" SEQ Wykres \* ARABIC ">
        <w:r w:rsidR="009962A2">
          <w:rPr>
            <w:noProof/>
          </w:rPr>
          <w:t>13</w:t>
        </w:r>
      </w:fldSimple>
      <w:r w:rsidRPr="00785460">
        <w:rPr>
          <w:noProof/>
        </w:rPr>
        <w:t>.</w:t>
      </w:r>
      <w:r w:rsidRPr="00785460">
        <w:t xml:space="preserve"> Wpływ funduszy UE na stopę inwestycji w podziale na inwestycje publiczne i prywatne</w:t>
      </w:r>
      <w:bookmarkEnd w:id="63"/>
    </w:p>
    <w:p w14:paraId="7EAA1DEB" w14:textId="302E883B" w:rsidR="00F74864" w:rsidRDefault="00767B33" w:rsidP="00917386">
      <w:pPr>
        <w:spacing w:after="0"/>
        <w:jc w:val="left"/>
      </w:pPr>
      <w:r w:rsidRPr="00767B33">
        <w:rPr>
          <w:noProof/>
        </w:rPr>
        <w:drawing>
          <wp:inline distT="0" distB="0" distL="0" distR="0" wp14:anchorId="23B910C6" wp14:editId="061D2EF0">
            <wp:extent cx="5319423" cy="3030370"/>
            <wp:effectExtent l="0" t="0" r="0" b="0"/>
            <wp:docPr id="1732632527" name="Obraz 15" descr="Wykres 13. Wpływ funduszy UE na stopę inwestycji w podziale na inwestycje publiczne i prywat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2632527" name="Obraz 15" descr="Wykres 13. Wpływ funduszy UE na stopę inwestycji w podziale na inwestycje publiczne i prywatne"/>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322583" cy="3032170"/>
                    </a:xfrm>
                    <a:prstGeom prst="rect">
                      <a:avLst/>
                    </a:prstGeom>
                    <a:noFill/>
                    <a:ln>
                      <a:noFill/>
                    </a:ln>
                  </pic:spPr>
                </pic:pic>
              </a:graphicData>
            </a:graphic>
          </wp:inline>
        </w:drawing>
      </w:r>
    </w:p>
    <w:p w14:paraId="2D47A700" w14:textId="0EEB29EF" w:rsidR="002D06DE" w:rsidRPr="00785460" w:rsidRDefault="00F74864" w:rsidP="00917386">
      <w:pPr>
        <w:spacing w:after="240" w:line="276" w:lineRule="auto"/>
        <w:jc w:val="left"/>
        <w:rPr>
          <w:rFonts w:ascii="Arial" w:hAnsi="Arial" w:cs="Arial"/>
        </w:rPr>
      </w:pPr>
      <w:r w:rsidRPr="00785460">
        <w:rPr>
          <w:rFonts w:ascii="Arial" w:hAnsi="Arial" w:cs="Arial"/>
          <w:i/>
          <w:iCs/>
        </w:rPr>
        <w:t>Źródło: opracowanie własne na podstawie symulacji modelu VESPA</w:t>
      </w:r>
      <w:r w:rsidR="004033AC" w:rsidRPr="00785460">
        <w:rPr>
          <w:rFonts w:ascii="Arial" w:hAnsi="Arial" w:cs="Arial"/>
          <w:i/>
          <w:iCs/>
        </w:rPr>
        <w:t>.</w:t>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126"/>
        <w:gridCol w:w="22"/>
        <w:gridCol w:w="4382"/>
      </w:tblGrid>
      <w:tr w:rsidR="00C41CD1" w14:paraId="5EE693F7" w14:textId="77777777" w:rsidTr="00C27264">
        <w:tc>
          <w:tcPr>
            <w:tcW w:w="4530" w:type="dxa"/>
          </w:tcPr>
          <w:p w14:paraId="25EC1FF7" w14:textId="36A76008" w:rsidR="00C41CD1" w:rsidRPr="00785460" w:rsidRDefault="00C41CD1" w:rsidP="00F15187">
            <w:pPr>
              <w:pStyle w:val="Legenda"/>
            </w:pPr>
            <w:bookmarkStart w:id="64" w:name="_Toc173834346"/>
            <w:r w:rsidRPr="00785460">
              <w:lastRenderedPageBreak/>
              <w:t xml:space="preserve">Mapa </w:t>
            </w:r>
            <w:r>
              <w:fldChar w:fldCharType="begin"/>
            </w:r>
            <w:r>
              <w:instrText>SEQ Mapa \* ARABIC</w:instrText>
            </w:r>
            <w:r>
              <w:fldChar w:fldCharType="separate"/>
            </w:r>
            <w:r w:rsidR="009962A2">
              <w:rPr>
                <w:noProof/>
              </w:rPr>
              <w:t>4</w:t>
            </w:r>
            <w:r>
              <w:fldChar w:fldCharType="end"/>
            </w:r>
            <w:r w:rsidRPr="00785460">
              <w:rPr>
                <w:rFonts w:eastAsia="Times New Roman"/>
                <w:color w:val="auto"/>
              </w:rPr>
              <w:t>.</w:t>
            </w:r>
            <w:r w:rsidRPr="00785460" w:rsidDel="00C41CD1">
              <w:t xml:space="preserve"> </w:t>
            </w:r>
            <w:r w:rsidRPr="00785460">
              <w:t>Średni wpływ funduszy UE na inwestycje w regionach (w proc</w:t>
            </w:r>
            <w:r w:rsidR="003C34B6" w:rsidRPr="00785460">
              <w:t>.</w:t>
            </w:r>
            <w:r w:rsidRPr="00785460">
              <w:t xml:space="preserve"> PKB) w latach 2004-2033</w:t>
            </w:r>
            <w:bookmarkEnd w:id="64"/>
            <w:r w:rsidRPr="00785460">
              <w:t xml:space="preserve"> </w:t>
            </w:r>
          </w:p>
        </w:tc>
        <w:tc>
          <w:tcPr>
            <w:tcW w:w="4530" w:type="dxa"/>
            <w:gridSpan w:val="3"/>
          </w:tcPr>
          <w:p w14:paraId="30DE6572" w14:textId="1EE53F71" w:rsidR="00C41CD1" w:rsidRPr="00785460" w:rsidRDefault="00C41CD1" w:rsidP="00F15187">
            <w:pPr>
              <w:pStyle w:val="Legenda"/>
            </w:pPr>
            <w:bookmarkStart w:id="65" w:name="_Toc173834323"/>
            <w:r w:rsidRPr="00785460">
              <w:t xml:space="preserve">Wykres </w:t>
            </w:r>
            <w:r>
              <w:fldChar w:fldCharType="begin"/>
            </w:r>
            <w:r>
              <w:instrText>SEQ Wykres \* ARABIC</w:instrText>
            </w:r>
            <w:r>
              <w:fldChar w:fldCharType="separate"/>
            </w:r>
            <w:r w:rsidR="009962A2">
              <w:rPr>
                <w:noProof/>
              </w:rPr>
              <w:t>14</w:t>
            </w:r>
            <w:r>
              <w:fldChar w:fldCharType="end"/>
            </w:r>
            <w:r w:rsidRPr="00785460">
              <w:rPr>
                <w:noProof/>
              </w:rPr>
              <w:t>.</w:t>
            </w:r>
            <w:r w:rsidRPr="00785460">
              <w:t xml:space="preserve"> Średni wpływ funduszy UE na inwestycje w regionach (w proc</w:t>
            </w:r>
            <w:r w:rsidR="003C34B6" w:rsidRPr="00785460">
              <w:t>.</w:t>
            </w:r>
            <w:r w:rsidRPr="00785460">
              <w:t xml:space="preserve"> PKB) w latach 2004-202</w:t>
            </w:r>
            <w:r w:rsidR="00EF167C">
              <w:t>3</w:t>
            </w:r>
            <w:r w:rsidRPr="00785460">
              <w:t xml:space="preserve"> i 202</w:t>
            </w:r>
            <w:r w:rsidR="00EF167C">
              <w:t>4</w:t>
            </w:r>
            <w:r w:rsidRPr="00785460">
              <w:t>-2033</w:t>
            </w:r>
            <w:bookmarkEnd w:id="65"/>
          </w:p>
        </w:tc>
      </w:tr>
      <w:tr w:rsidR="0025106D" w14:paraId="6290C39D" w14:textId="77777777" w:rsidTr="00C27264">
        <w:tc>
          <w:tcPr>
            <w:tcW w:w="4656" w:type="dxa"/>
            <w:gridSpan w:val="2"/>
          </w:tcPr>
          <w:p w14:paraId="4EC7447E" w14:textId="05D05034" w:rsidR="002D06DE" w:rsidRDefault="00767B33" w:rsidP="00F15187">
            <w:pPr>
              <w:spacing w:after="0"/>
              <w:jc w:val="left"/>
              <w:rPr>
                <w:rFonts w:asciiTheme="minorHAnsi" w:hAnsiTheme="minorHAnsi" w:cstheme="minorHAnsi"/>
              </w:rPr>
            </w:pPr>
            <w:r w:rsidRPr="00767B33">
              <w:rPr>
                <w:rFonts w:asciiTheme="minorHAnsi" w:hAnsiTheme="minorHAnsi" w:cstheme="minorHAnsi"/>
                <w:noProof/>
              </w:rPr>
              <w:drawing>
                <wp:inline distT="0" distB="0" distL="0" distR="0" wp14:anchorId="4FB6A9B7" wp14:editId="284CEB39">
                  <wp:extent cx="2578496" cy="2345635"/>
                  <wp:effectExtent l="0" t="0" r="0" b="0"/>
                  <wp:docPr id="31766197" name="Obraz 16" descr="Mapa 4. Średni wpływ funduszy UE na inwestycje w regionach (w proc. PKB) w latach 2004-2033  Wykres 14. Średni wpływ funduszy UE na inwestycje w regionach (w proc. PKB) w latach 2004-2023 i 2024-2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66197" name="Obraz 16" descr="Mapa 4. Średni wpływ funduszy UE na inwestycje w regionach (w proc. PKB) w latach 2004-2033  Wykres 14. Średni wpływ funduszy UE na inwestycje w regionach (w proc. PKB) w latach 2004-2023 i 2024-203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586449" cy="2352870"/>
                          </a:xfrm>
                          <a:prstGeom prst="rect">
                            <a:avLst/>
                          </a:prstGeom>
                          <a:noFill/>
                          <a:ln>
                            <a:noFill/>
                          </a:ln>
                        </pic:spPr>
                      </pic:pic>
                    </a:graphicData>
                  </a:graphic>
                </wp:inline>
              </w:drawing>
            </w:r>
          </w:p>
        </w:tc>
        <w:tc>
          <w:tcPr>
            <w:tcW w:w="4404" w:type="dxa"/>
            <w:gridSpan w:val="2"/>
          </w:tcPr>
          <w:p w14:paraId="4D9B86D7" w14:textId="4144AE28" w:rsidR="002D06DE" w:rsidRDefault="00EF167C" w:rsidP="00F15187">
            <w:pPr>
              <w:spacing w:after="0"/>
              <w:jc w:val="left"/>
              <w:rPr>
                <w:rFonts w:asciiTheme="minorHAnsi" w:hAnsiTheme="minorHAnsi" w:cstheme="minorHAnsi"/>
              </w:rPr>
            </w:pPr>
            <w:r w:rsidRPr="00EF167C">
              <w:rPr>
                <w:rFonts w:asciiTheme="minorHAnsi" w:hAnsiTheme="minorHAnsi" w:cstheme="minorHAnsi"/>
                <w:noProof/>
              </w:rPr>
              <w:drawing>
                <wp:inline distT="0" distB="0" distL="0" distR="0" wp14:anchorId="42A4B9C0" wp14:editId="5AC34EE9">
                  <wp:extent cx="2609850" cy="2502301"/>
                  <wp:effectExtent l="0" t="0" r="0" b="0"/>
                  <wp:docPr id="475886547" name="Obraz 29" descr="Mapa 4. Średni wpływ funduszy UE na inwestycje w regionach (w proc. PKB) w latach 2004-203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886547" name="Obraz 29" descr="Mapa 4. Średni wpływ funduszy UE na inwestycje w regionach (w proc. PKB) w latach 2004-2033 "/>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615603" cy="2507817"/>
                          </a:xfrm>
                          <a:prstGeom prst="rect">
                            <a:avLst/>
                          </a:prstGeom>
                          <a:noFill/>
                          <a:ln>
                            <a:noFill/>
                          </a:ln>
                        </pic:spPr>
                      </pic:pic>
                    </a:graphicData>
                  </a:graphic>
                </wp:inline>
              </w:drawing>
            </w:r>
          </w:p>
        </w:tc>
      </w:tr>
      <w:tr w:rsidR="000F3F4B" w:rsidRPr="00785460" w14:paraId="057A67F4" w14:textId="77777777" w:rsidTr="00917386">
        <w:tc>
          <w:tcPr>
            <w:tcW w:w="4678" w:type="dxa"/>
            <w:gridSpan w:val="3"/>
          </w:tcPr>
          <w:p w14:paraId="1AD65384" w14:textId="77777777" w:rsidR="000F3F4B" w:rsidRPr="00785460" w:rsidRDefault="000F3F4B" w:rsidP="00F15187">
            <w:pPr>
              <w:spacing w:after="240" w:line="276" w:lineRule="auto"/>
              <w:jc w:val="left"/>
              <w:rPr>
                <w:rFonts w:ascii="Arial" w:hAnsi="Arial" w:cs="Arial"/>
                <w:i/>
                <w:iCs/>
              </w:rPr>
            </w:pPr>
            <w:r w:rsidRPr="00785460">
              <w:rPr>
                <w:rFonts w:ascii="Arial" w:hAnsi="Arial" w:cs="Arial"/>
                <w:i/>
                <w:iCs/>
              </w:rPr>
              <w:t>Źródło: opracowanie własne na podstawie symulacji modelu VESPA.</w:t>
            </w:r>
          </w:p>
        </w:tc>
        <w:tc>
          <w:tcPr>
            <w:tcW w:w="4382" w:type="dxa"/>
          </w:tcPr>
          <w:p w14:paraId="2B4EB4CA" w14:textId="77777777" w:rsidR="000F3F4B" w:rsidRPr="00785460" w:rsidRDefault="000F3F4B" w:rsidP="00F15187">
            <w:pPr>
              <w:spacing w:after="240" w:line="276" w:lineRule="auto"/>
              <w:jc w:val="left"/>
              <w:rPr>
                <w:rFonts w:ascii="Arial" w:hAnsi="Arial" w:cs="Arial"/>
                <w:i/>
                <w:iCs/>
              </w:rPr>
            </w:pPr>
            <w:r w:rsidRPr="00785460">
              <w:rPr>
                <w:rFonts w:ascii="Arial" w:hAnsi="Arial" w:cs="Arial"/>
                <w:i/>
                <w:iCs/>
              </w:rPr>
              <w:t>Źródło: opracowanie własne na podstawie symulacji modelu VESPA.</w:t>
            </w:r>
          </w:p>
        </w:tc>
      </w:tr>
    </w:tbl>
    <w:p w14:paraId="793DC4C3" w14:textId="77777777" w:rsidR="00B531D7" w:rsidRPr="00917386" w:rsidRDefault="00B531D7" w:rsidP="00917386">
      <w:pPr>
        <w:pStyle w:val="Styl1"/>
        <w:jc w:val="left"/>
        <w:rPr>
          <w:color w:val="3C3C3C"/>
        </w:rPr>
      </w:pPr>
      <w:bookmarkStart w:id="66" w:name="_Toc176241625"/>
      <w:r w:rsidRPr="00917386">
        <w:rPr>
          <w:color w:val="3C3C3C"/>
        </w:rPr>
        <w:t>Wydatki na B+R</w:t>
      </w:r>
      <w:bookmarkEnd w:id="66"/>
    </w:p>
    <w:p w14:paraId="51B27416" w14:textId="5C1358C7" w:rsidR="00B531D7" w:rsidRPr="005C3719" w:rsidRDefault="00795065" w:rsidP="00917386">
      <w:pPr>
        <w:spacing w:after="120" w:line="276" w:lineRule="auto"/>
        <w:jc w:val="left"/>
        <w:rPr>
          <w:rFonts w:ascii="Arial" w:hAnsi="Arial" w:cs="Arial"/>
        </w:rPr>
      </w:pPr>
      <w:bookmarkStart w:id="67" w:name="_Hlk136006531"/>
      <w:r w:rsidRPr="00795065">
        <w:rPr>
          <w:rFonts w:ascii="Arial" w:hAnsi="Arial" w:cs="Arial"/>
        </w:rPr>
        <w:t>Szczególną kategorią wydatków inwestycyjnych są nakłady na badania i rozwój (B+R). W odróżnieniu od nakładów na środki trwałe, które mają tendencję do stabilizacji na stosunkowo niskim poziomie około 18-20% PKB, nakłady na badania i rozwój w Polsce wykazują wieloletni trend wzrostowy, do którego wsparcie UE jedynie przyczynia się. Szacunki wykonane za pomocą modelu VESPA wskazują, że</w:t>
      </w:r>
      <w:r w:rsidR="00EF4149">
        <w:rPr>
          <w:rFonts w:ascii="Arial" w:hAnsi="Arial" w:cs="Arial"/>
        </w:rPr>
        <w:t> </w:t>
      </w:r>
      <w:r w:rsidRPr="00795065">
        <w:rPr>
          <w:rFonts w:ascii="Arial" w:hAnsi="Arial" w:cs="Arial"/>
        </w:rPr>
        <w:t>ścieżka wydatków na B+R była w Polsce przez większość analizowanego okresu o około 0,1-0,2% PKB wyższa niż w scenariuszu kontrfaktycznym („bez funduszy”).</w:t>
      </w:r>
      <w:r>
        <w:rPr>
          <w:rFonts w:ascii="Arial" w:hAnsi="Arial" w:cs="Arial"/>
        </w:rPr>
        <w:t xml:space="preserve"> </w:t>
      </w:r>
      <w:r w:rsidRPr="00795065">
        <w:rPr>
          <w:rFonts w:ascii="Arial" w:hAnsi="Arial" w:cs="Arial"/>
        </w:rPr>
        <w:t>Szczyt pozytywnego oddziaływania spodziewany jest w połowie lat 20</w:t>
      </w:r>
      <w:r w:rsidR="00426504">
        <w:rPr>
          <w:rFonts w:ascii="Arial" w:hAnsi="Arial" w:cs="Arial"/>
        </w:rPr>
        <w:t xml:space="preserve"> XXI wieku</w:t>
      </w:r>
      <w:r w:rsidRPr="00795065">
        <w:rPr>
          <w:rFonts w:ascii="Arial" w:hAnsi="Arial" w:cs="Arial"/>
        </w:rPr>
        <w:t>. Wynika to z kumulacji wydatkowania środków z KPO i UP 2021-2027. Wzrost nakładów na B+R jest przede wszystkim rezultatem bezpośredniego wsparcia przedsiębiorstw oraz, w mniejszym stopniu, rozwoju zasobów ludzkich. Środki UE miały pozytywny wpływ zarówno na publiczne, jak i prywatne wydatki na badania i rozwój, przy czym w przypadku sektora prywatnego wpływ był około dwukrotnie większy.</w:t>
      </w:r>
      <w:r>
        <w:rPr>
          <w:rFonts w:ascii="Arial" w:hAnsi="Arial" w:cs="Arial"/>
        </w:rPr>
        <w:t xml:space="preserve"> </w:t>
      </w:r>
      <w:r w:rsidRPr="00795065">
        <w:rPr>
          <w:rFonts w:ascii="Arial" w:hAnsi="Arial" w:cs="Arial"/>
        </w:rPr>
        <w:t>Po zakładanym zakończeniu wsparcia B+R ze</w:t>
      </w:r>
      <w:r w:rsidR="00EF4149">
        <w:rPr>
          <w:rFonts w:ascii="Arial" w:hAnsi="Arial" w:cs="Arial"/>
        </w:rPr>
        <w:t> </w:t>
      </w:r>
      <w:r w:rsidRPr="00795065">
        <w:rPr>
          <w:rFonts w:ascii="Arial" w:hAnsi="Arial" w:cs="Arial"/>
        </w:rPr>
        <w:t>środków UE po 2026 roku, należy spodziewać się zahamowania trendu wzrostowego tych wydatków do czasu, gdy sekularny trend wzrostowy nie osiągnie odpowiednio wysokiego poziomu. Ten efekt nie wystąpi, jeśli finansowanie działalności innowacyjnej firm i sektora publicznego ze środków UE będzie kontynuowane po 2029 roku.</w:t>
      </w:r>
      <w:r w:rsidR="00476F8C">
        <w:rPr>
          <w:rFonts w:ascii="Arial" w:hAnsi="Arial" w:cs="Arial"/>
        </w:rPr>
        <w:t xml:space="preserve"> Pod względem regionalnym wydatki na B+R mają tendencję do koncentracji w ośrodkach dysponujących najwyższym kapitałem ludzkim i bazą naukowo-badawczą. W związku z tym fundusze UE najsilniej zwiększyły nakłady na badania i rozwój w województwie Mazowieckim i Małopolskim, w których funkcjonują najsilniejsze krajowe klastry badawczo-rozwojowe korzystające z efektów zewnętrznych głównych polskich uniwersytetów: Warszawskiego i Jagiellońskiego. Dwu</w:t>
      </w:r>
      <w:r w:rsidR="00A018A0">
        <w:rPr>
          <w:rFonts w:ascii="Arial" w:hAnsi="Arial" w:cs="Arial"/>
        </w:rPr>
        <w:t>-</w:t>
      </w:r>
      <w:r w:rsidR="00476F8C">
        <w:rPr>
          <w:rFonts w:ascii="Arial" w:hAnsi="Arial" w:cs="Arial"/>
        </w:rPr>
        <w:t>, trzy</w:t>
      </w:r>
      <w:r w:rsidR="00A018A0">
        <w:rPr>
          <w:rFonts w:ascii="Arial" w:hAnsi="Arial" w:cs="Arial"/>
        </w:rPr>
        <w:t>-</w:t>
      </w:r>
      <w:r w:rsidR="00476F8C">
        <w:rPr>
          <w:rFonts w:ascii="Arial" w:hAnsi="Arial" w:cs="Arial"/>
        </w:rPr>
        <w:t xml:space="preserve"> a nawet czterokrotnie słabszy, choć nadal pozytywny wpływ funduszy UE na działalność badawczo-rozwojową widoczny jest jednak w całym kraju w tym zwłaszcza w regionach dysponujących dużymi aglomeracjami o charakterze uniwersyteckim i przemysłowym: pomorskim, dolnośląskim, wielkopolskim, śląskim czy podkarpackim.</w:t>
      </w:r>
    </w:p>
    <w:p w14:paraId="5BDA989A" w14:textId="5F3DDC02" w:rsidR="00F74864" w:rsidRPr="00785460" w:rsidRDefault="00F74864" w:rsidP="00F15187">
      <w:pPr>
        <w:pStyle w:val="Legenda"/>
        <w:rPr>
          <w:bCs/>
          <w:sz w:val="22"/>
          <w:szCs w:val="22"/>
        </w:rPr>
      </w:pPr>
      <w:bookmarkStart w:id="68" w:name="_Toc173834324"/>
      <w:r w:rsidRPr="00785460">
        <w:lastRenderedPageBreak/>
        <w:t xml:space="preserve">Wykres </w:t>
      </w:r>
      <w:fldSimple w:instr=" SEQ Wykres \* ARABIC ">
        <w:r w:rsidR="009962A2">
          <w:rPr>
            <w:noProof/>
          </w:rPr>
          <w:t>15</w:t>
        </w:r>
      </w:fldSimple>
      <w:r w:rsidRPr="00785460">
        <w:rPr>
          <w:noProof/>
        </w:rPr>
        <w:t>.</w:t>
      </w:r>
      <w:r w:rsidRPr="00785460">
        <w:t xml:space="preserve"> Wpływ funduszy UE na wydatki na B+R w podziale na publiczne i prywatne</w:t>
      </w:r>
      <w:bookmarkEnd w:id="68"/>
    </w:p>
    <w:bookmarkEnd w:id="67"/>
    <w:p w14:paraId="0D3DC8E2" w14:textId="4EEC9A6A" w:rsidR="00B04E0B" w:rsidRDefault="00855D60" w:rsidP="00917386">
      <w:pPr>
        <w:spacing w:after="0"/>
        <w:jc w:val="left"/>
        <w:rPr>
          <w:sz w:val="22"/>
          <w:szCs w:val="22"/>
        </w:rPr>
      </w:pPr>
      <w:r w:rsidRPr="00855D60">
        <w:rPr>
          <w:noProof/>
        </w:rPr>
        <w:drawing>
          <wp:inline distT="0" distB="0" distL="0" distR="0" wp14:anchorId="11721BE9" wp14:editId="05AE5CFE">
            <wp:extent cx="5061098" cy="3327937"/>
            <wp:effectExtent l="0" t="0" r="0" b="0"/>
            <wp:docPr id="1978253627" name="Obraz 30" descr="Wykres 15. Wpływ funduszy UE na wydatki na B+R w podziale na publiczne i prywat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8253627" name="Obraz 30" descr="Wykres 15. Wpływ funduszy UE na wydatki na B+R w podziale na publiczne i prywatne"/>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064683" cy="3330294"/>
                    </a:xfrm>
                    <a:prstGeom prst="rect">
                      <a:avLst/>
                    </a:prstGeom>
                    <a:noFill/>
                    <a:ln>
                      <a:noFill/>
                    </a:ln>
                  </pic:spPr>
                </pic:pic>
              </a:graphicData>
            </a:graphic>
          </wp:inline>
        </w:drawing>
      </w:r>
    </w:p>
    <w:p w14:paraId="63A4A15E" w14:textId="46873640" w:rsidR="00F74864" w:rsidRDefault="00F74864">
      <w:pPr>
        <w:spacing w:after="240" w:line="276" w:lineRule="auto"/>
        <w:jc w:val="left"/>
        <w:rPr>
          <w:rFonts w:ascii="Arial" w:hAnsi="Arial" w:cs="Arial"/>
          <w:i/>
          <w:iCs/>
        </w:rPr>
      </w:pPr>
      <w:r w:rsidRPr="00785460">
        <w:rPr>
          <w:rFonts w:ascii="Arial" w:hAnsi="Arial" w:cs="Arial"/>
          <w:i/>
          <w:iCs/>
        </w:rPr>
        <w:t>Źródło: opracowanie własne na podstawie symulacji modelu VESPA</w:t>
      </w:r>
      <w:r w:rsidR="004033AC" w:rsidRPr="00785460">
        <w:rPr>
          <w:rFonts w:ascii="Arial" w:hAnsi="Arial" w:cs="Arial"/>
          <w:i/>
          <w:iCs/>
        </w:rPr>
        <w:t>.</w:t>
      </w:r>
    </w:p>
    <w:p w14:paraId="49BC42D2" w14:textId="77777777" w:rsidR="00476F8C" w:rsidRDefault="00476F8C">
      <w:pPr>
        <w:spacing w:after="240" w:line="276" w:lineRule="auto"/>
        <w:jc w:val="left"/>
        <w:rPr>
          <w:rFonts w:ascii="Arial" w:hAnsi="Arial" w:cs="Arial"/>
          <w:i/>
          <w:iCs/>
        </w:rPr>
      </w:pP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126"/>
        <w:gridCol w:w="22"/>
        <w:gridCol w:w="4382"/>
      </w:tblGrid>
      <w:tr w:rsidR="00476F8C" w14:paraId="6B93F941" w14:textId="77777777" w:rsidTr="00472EA9">
        <w:tc>
          <w:tcPr>
            <w:tcW w:w="4530" w:type="dxa"/>
          </w:tcPr>
          <w:p w14:paraId="432043CC" w14:textId="222AF5E3" w:rsidR="00476F8C" w:rsidRPr="00785460" w:rsidRDefault="00476F8C" w:rsidP="00472EA9">
            <w:pPr>
              <w:pStyle w:val="Legenda"/>
            </w:pPr>
            <w:r w:rsidRPr="00785460">
              <w:t xml:space="preserve">Mapa </w:t>
            </w:r>
            <w:r>
              <w:fldChar w:fldCharType="begin"/>
            </w:r>
            <w:r>
              <w:instrText>SEQ Mapa \* ARABIC</w:instrText>
            </w:r>
            <w:r>
              <w:fldChar w:fldCharType="separate"/>
            </w:r>
            <w:r w:rsidR="009962A2">
              <w:rPr>
                <w:noProof/>
              </w:rPr>
              <w:t>5</w:t>
            </w:r>
            <w:r>
              <w:fldChar w:fldCharType="end"/>
            </w:r>
            <w:r w:rsidRPr="00785460">
              <w:rPr>
                <w:rFonts w:eastAsia="Times New Roman"/>
                <w:color w:val="auto"/>
              </w:rPr>
              <w:t>.</w:t>
            </w:r>
            <w:r w:rsidRPr="00785460" w:rsidDel="00C41CD1">
              <w:t xml:space="preserve"> </w:t>
            </w:r>
            <w:r w:rsidRPr="00785460">
              <w:t xml:space="preserve">Średni wpływ funduszy UE na </w:t>
            </w:r>
            <w:r>
              <w:t xml:space="preserve">B+R </w:t>
            </w:r>
            <w:r w:rsidRPr="00785460">
              <w:t xml:space="preserve">w regionach (w proc. PKB) w latach 2004-2033 </w:t>
            </w:r>
          </w:p>
        </w:tc>
        <w:tc>
          <w:tcPr>
            <w:tcW w:w="4530" w:type="dxa"/>
            <w:gridSpan w:val="3"/>
          </w:tcPr>
          <w:p w14:paraId="47D5AE7E" w14:textId="557E639B" w:rsidR="00476F8C" w:rsidRPr="00785460" w:rsidRDefault="00476F8C" w:rsidP="00472EA9">
            <w:pPr>
              <w:pStyle w:val="Legenda"/>
            </w:pPr>
            <w:r w:rsidRPr="00785460">
              <w:t xml:space="preserve">Wykres </w:t>
            </w:r>
            <w:r>
              <w:fldChar w:fldCharType="begin"/>
            </w:r>
            <w:r>
              <w:instrText>SEQ Wykres \* ARABIC</w:instrText>
            </w:r>
            <w:r>
              <w:fldChar w:fldCharType="separate"/>
            </w:r>
            <w:r w:rsidR="009962A2">
              <w:rPr>
                <w:noProof/>
              </w:rPr>
              <w:t>16</w:t>
            </w:r>
            <w:r>
              <w:fldChar w:fldCharType="end"/>
            </w:r>
            <w:r w:rsidRPr="00785460">
              <w:rPr>
                <w:noProof/>
              </w:rPr>
              <w:t>.</w:t>
            </w:r>
            <w:r w:rsidRPr="00785460">
              <w:t xml:space="preserve"> Średni wpływ funduszy UE na </w:t>
            </w:r>
            <w:r>
              <w:t xml:space="preserve">B+R </w:t>
            </w:r>
            <w:r w:rsidRPr="00785460">
              <w:t>w regionach (w proc. PKB) w latach 2004-202</w:t>
            </w:r>
            <w:r>
              <w:t>3</w:t>
            </w:r>
            <w:r w:rsidRPr="00785460">
              <w:t xml:space="preserve"> i 202</w:t>
            </w:r>
            <w:r>
              <w:t>4</w:t>
            </w:r>
            <w:r w:rsidRPr="00785460">
              <w:t>-2033</w:t>
            </w:r>
          </w:p>
        </w:tc>
      </w:tr>
      <w:tr w:rsidR="00476F8C" w14:paraId="55A29059" w14:textId="77777777" w:rsidTr="00472EA9">
        <w:tc>
          <w:tcPr>
            <w:tcW w:w="4656" w:type="dxa"/>
            <w:gridSpan w:val="2"/>
          </w:tcPr>
          <w:p w14:paraId="26CE1885" w14:textId="35D349CA" w:rsidR="00476F8C" w:rsidRDefault="00476F8C" w:rsidP="00472EA9">
            <w:pPr>
              <w:spacing w:after="0"/>
              <w:jc w:val="left"/>
              <w:rPr>
                <w:rFonts w:asciiTheme="minorHAnsi" w:hAnsiTheme="minorHAnsi" w:cstheme="minorHAnsi"/>
              </w:rPr>
            </w:pPr>
            <w:r w:rsidRPr="00476F8C">
              <w:rPr>
                <w:rFonts w:asciiTheme="minorHAnsi" w:hAnsiTheme="minorHAnsi" w:cstheme="minorHAnsi"/>
                <w:noProof/>
              </w:rPr>
              <w:drawing>
                <wp:inline distT="0" distB="0" distL="0" distR="0" wp14:anchorId="2A42CCFC" wp14:editId="54F34A88">
                  <wp:extent cx="2562832" cy="2495550"/>
                  <wp:effectExtent l="0" t="0" r="9525" b="0"/>
                  <wp:docPr id="1810891480"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568129" cy="2500708"/>
                          </a:xfrm>
                          <a:prstGeom prst="rect">
                            <a:avLst/>
                          </a:prstGeom>
                          <a:noFill/>
                          <a:ln>
                            <a:noFill/>
                          </a:ln>
                        </pic:spPr>
                      </pic:pic>
                    </a:graphicData>
                  </a:graphic>
                </wp:inline>
              </w:drawing>
            </w:r>
          </w:p>
        </w:tc>
        <w:tc>
          <w:tcPr>
            <w:tcW w:w="4404" w:type="dxa"/>
            <w:gridSpan w:val="2"/>
          </w:tcPr>
          <w:p w14:paraId="4B8F5AFE" w14:textId="74013C77" w:rsidR="00476F8C" w:rsidRDefault="00476F8C" w:rsidP="00472EA9">
            <w:pPr>
              <w:spacing w:after="0"/>
              <w:jc w:val="left"/>
              <w:rPr>
                <w:rFonts w:asciiTheme="minorHAnsi" w:hAnsiTheme="minorHAnsi" w:cstheme="minorHAnsi"/>
              </w:rPr>
            </w:pPr>
            <w:r w:rsidRPr="00476F8C">
              <w:rPr>
                <w:rFonts w:asciiTheme="minorHAnsi" w:hAnsiTheme="minorHAnsi" w:cstheme="minorHAnsi"/>
                <w:noProof/>
              </w:rPr>
              <w:drawing>
                <wp:inline distT="0" distB="0" distL="0" distR="0" wp14:anchorId="11420BC5" wp14:editId="214714B0">
                  <wp:extent cx="2647950" cy="2538831"/>
                  <wp:effectExtent l="0" t="0" r="0" b="0"/>
                  <wp:docPr id="1044030167"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662317" cy="2552606"/>
                          </a:xfrm>
                          <a:prstGeom prst="rect">
                            <a:avLst/>
                          </a:prstGeom>
                          <a:noFill/>
                          <a:ln>
                            <a:noFill/>
                          </a:ln>
                        </pic:spPr>
                      </pic:pic>
                    </a:graphicData>
                  </a:graphic>
                </wp:inline>
              </w:drawing>
            </w:r>
          </w:p>
        </w:tc>
      </w:tr>
      <w:tr w:rsidR="00476F8C" w:rsidRPr="00785460" w14:paraId="0E6AC056" w14:textId="77777777" w:rsidTr="00472EA9">
        <w:tc>
          <w:tcPr>
            <w:tcW w:w="4678" w:type="dxa"/>
            <w:gridSpan w:val="3"/>
          </w:tcPr>
          <w:p w14:paraId="58888A83" w14:textId="77777777" w:rsidR="00476F8C" w:rsidRPr="00785460" w:rsidRDefault="00476F8C" w:rsidP="00472EA9">
            <w:pPr>
              <w:spacing w:after="240" w:line="276" w:lineRule="auto"/>
              <w:jc w:val="left"/>
              <w:rPr>
                <w:rFonts w:ascii="Arial" w:hAnsi="Arial" w:cs="Arial"/>
                <w:i/>
                <w:iCs/>
              </w:rPr>
            </w:pPr>
            <w:r w:rsidRPr="00785460">
              <w:rPr>
                <w:rFonts w:ascii="Arial" w:hAnsi="Arial" w:cs="Arial"/>
                <w:i/>
                <w:iCs/>
              </w:rPr>
              <w:t>Źródło: opracowanie własne na podstawie symulacji modelu VESPA.</w:t>
            </w:r>
          </w:p>
        </w:tc>
        <w:tc>
          <w:tcPr>
            <w:tcW w:w="4382" w:type="dxa"/>
          </w:tcPr>
          <w:p w14:paraId="093697D0" w14:textId="77777777" w:rsidR="00476F8C" w:rsidRPr="00785460" w:rsidRDefault="00476F8C" w:rsidP="00472EA9">
            <w:pPr>
              <w:spacing w:after="240" w:line="276" w:lineRule="auto"/>
              <w:jc w:val="left"/>
              <w:rPr>
                <w:rFonts w:ascii="Arial" w:hAnsi="Arial" w:cs="Arial"/>
                <w:i/>
                <w:iCs/>
              </w:rPr>
            </w:pPr>
            <w:r w:rsidRPr="00785460">
              <w:rPr>
                <w:rFonts w:ascii="Arial" w:hAnsi="Arial" w:cs="Arial"/>
                <w:i/>
                <w:iCs/>
              </w:rPr>
              <w:t>Źródło: opracowanie własne na podstawie symulacji modelu VESPA.</w:t>
            </w:r>
          </w:p>
        </w:tc>
      </w:tr>
    </w:tbl>
    <w:p w14:paraId="236C2B9E" w14:textId="77777777" w:rsidR="00476F8C" w:rsidRDefault="00476F8C">
      <w:pPr>
        <w:spacing w:after="240" w:line="276" w:lineRule="auto"/>
        <w:jc w:val="left"/>
        <w:rPr>
          <w:rFonts w:ascii="Arial" w:hAnsi="Arial" w:cs="Arial"/>
          <w:i/>
          <w:iCs/>
        </w:rPr>
      </w:pPr>
    </w:p>
    <w:p w14:paraId="2A9A1257" w14:textId="66DE08E3" w:rsidR="00476F8C" w:rsidRDefault="00476F8C">
      <w:pPr>
        <w:spacing w:after="0"/>
        <w:jc w:val="left"/>
        <w:rPr>
          <w:rFonts w:ascii="Arial" w:hAnsi="Arial" w:cs="Arial"/>
          <w:i/>
          <w:iCs/>
        </w:rPr>
      </w:pPr>
      <w:r>
        <w:rPr>
          <w:rFonts w:ascii="Arial" w:hAnsi="Arial" w:cs="Arial"/>
          <w:i/>
          <w:iCs/>
        </w:rPr>
        <w:br w:type="page"/>
      </w:r>
    </w:p>
    <w:p w14:paraId="6F07E612" w14:textId="77777777" w:rsidR="00476F8C" w:rsidRPr="00785460" w:rsidRDefault="00476F8C" w:rsidP="00917386">
      <w:pPr>
        <w:spacing w:after="240" w:line="276" w:lineRule="auto"/>
        <w:jc w:val="left"/>
        <w:rPr>
          <w:rFonts w:ascii="Arial" w:hAnsi="Arial" w:cs="Arial"/>
          <w:i/>
          <w:iCs/>
        </w:rPr>
      </w:pPr>
    </w:p>
    <w:p w14:paraId="1938BE9D" w14:textId="116E3001" w:rsidR="00053FF4" w:rsidRPr="00917386" w:rsidRDefault="00053FF4" w:rsidP="00917386">
      <w:pPr>
        <w:pStyle w:val="Styl1"/>
        <w:jc w:val="left"/>
        <w:rPr>
          <w:color w:val="3C3C3C"/>
        </w:rPr>
      </w:pPr>
      <w:bookmarkStart w:id="69" w:name="_Toc176241626"/>
      <w:r w:rsidRPr="00917386">
        <w:rPr>
          <w:color w:val="3C3C3C"/>
        </w:rPr>
        <w:t xml:space="preserve">Wpływ na </w:t>
      </w:r>
      <w:r w:rsidR="00EC5C51" w:rsidRPr="00917386">
        <w:rPr>
          <w:color w:val="3C3C3C"/>
        </w:rPr>
        <w:t>zatrudnienie</w:t>
      </w:r>
      <w:bookmarkEnd w:id="69"/>
    </w:p>
    <w:p w14:paraId="3F9144E5" w14:textId="3D04E482" w:rsidR="00432744" w:rsidRPr="005C3719" w:rsidRDefault="1708A881" w:rsidP="00917386">
      <w:pPr>
        <w:spacing w:after="120" w:line="276" w:lineRule="auto"/>
        <w:jc w:val="left"/>
        <w:rPr>
          <w:rFonts w:ascii="Arial" w:hAnsi="Arial" w:cs="Arial"/>
        </w:rPr>
      </w:pPr>
      <w:bookmarkStart w:id="70" w:name="_Hlk136006540"/>
      <w:r w:rsidRPr="4A5201E7">
        <w:rPr>
          <w:rFonts w:ascii="Arial" w:hAnsi="Arial" w:cs="Arial"/>
        </w:rPr>
        <w:t xml:space="preserve">Obok inwestycji i PKB, wydatkowanie funduszy UE miało również znaczący wpływ na rynek pracy. Symulacje modelu VESPA wskazują, że w latach 2011-2033 liczba pracujących w Polsce powinna być średnio o prawie 400 tysięcy osób rocznie wyższa niż w scenariuszu kontrfaktycznym („bez funduszy”). Wzrost zatrudnienia był liczbowo podobny dla obu płci, choć względny wpływ na zatrudnienie kobiet był nieco większy ze względu na wyjściowo niższą liczbę pracujących kobiet. Największy wzrost zatrudnienia, wynoszący około 3,7-4,4%, odnotowano w relatywnie najbiedniejszych regionach Polski Wschodniej, a najmniejszy w najbardziej rozwiniętych regionach, takich jak </w:t>
      </w:r>
      <w:r w:rsidR="50A075B8" w:rsidRPr="4A5201E7">
        <w:rPr>
          <w:rFonts w:ascii="Arial" w:hAnsi="Arial" w:cs="Arial"/>
        </w:rPr>
        <w:t>m</w:t>
      </w:r>
      <w:r w:rsidRPr="4A5201E7">
        <w:rPr>
          <w:rFonts w:ascii="Arial" w:hAnsi="Arial" w:cs="Arial"/>
        </w:rPr>
        <w:t xml:space="preserve">azowieckie, </w:t>
      </w:r>
      <w:r w:rsidR="0A9A3F13" w:rsidRPr="4A5201E7">
        <w:rPr>
          <w:rFonts w:ascii="Arial" w:hAnsi="Arial" w:cs="Arial"/>
        </w:rPr>
        <w:t>d</w:t>
      </w:r>
      <w:r w:rsidRPr="4A5201E7">
        <w:rPr>
          <w:rFonts w:ascii="Arial" w:hAnsi="Arial" w:cs="Arial"/>
        </w:rPr>
        <w:t xml:space="preserve">olnośląskie i </w:t>
      </w:r>
      <w:r w:rsidR="4925E610" w:rsidRPr="4A5201E7">
        <w:rPr>
          <w:rFonts w:ascii="Arial" w:hAnsi="Arial" w:cs="Arial"/>
        </w:rPr>
        <w:t>w</w:t>
      </w:r>
      <w:r w:rsidRPr="4A5201E7">
        <w:rPr>
          <w:rFonts w:ascii="Arial" w:hAnsi="Arial" w:cs="Arial"/>
        </w:rPr>
        <w:t>ielkopolskie, gdzie wzrost wyniósł 1,6-2,0%. Ponieważ najmniej rozwinięte województwa mają relatywnie małą populację, wzrost liczby pracujących w Polsce Wschodniej stanowił jedynie 25-27% całego dodatkowego zatrudnienia wywołanego funduszami, nieznacznie przekraczając wzrost zatrudnienia w trzech najbogatszych województwach. Wzrost liczby pracujących przekładał się również na wzrost wskaźnika zatrudnienia. Symulacje modelu VESPA szacują, że dzięki funduszom UE wskaźnik ten był w latach 2011-2027 o 2,0-2,5 punktu procentowego wyższy niż w scenariuszu kontrfaktycznym („bez funduszy”). W latach 2004-2010 wpływ ten był mniejszy, ale stopniowo rosnący, co związane było z rosnącą aktywnością inwestycyjną stymulowaną wydatkowaniem środków UE oraz z kumulującymi się efektami wydatków na rozwój kapitału ludzkiego.</w:t>
      </w:r>
    </w:p>
    <w:p w14:paraId="4C2F7012" w14:textId="28457D98" w:rsidR="00065F32" w:rsidRPr="00785460" w:rsidRDefault="00C41CD1" w:rsidP="00F15187">
      <w:pPr>
        <w:pStyle w:val="Legenda"/>
      </w:pPr>
      <w:bookmarkStart w:id="71" w:name="_Toc173834325"/>
      <w:bookmarkEnd w:id="70"/>
      <w:r w:rsidRPr="00785460">
        <w:t xml:space="preserve">Wykres </w:t>
      </w:r>
      <w:fldSimple w:instr=" SEQ Wykres \* ARABIC ">
        <w:r w:rsidR="009962A2">
          <w:rPr>
            <w:noProof/>
          </w:rPr>
          <w:t>17</w:t>
        </w:r>
      </w:fldSimple>
      <w:r w:rsidRPr="00785460">
        <w:rPr>
          <w:noProof/>
        </w:rPr>
        <w:t>.</w:t>
      </w:r>
      <w:r w:rsidRPr="00785460">
        <w:t xml:space="preserve"> Wpływ funduszy UE na liczbę pracujących osób </w:t>
      </w:r>
      <w:r w:rsidR="0093026F">
        <w:t xml:space="preserve">w wieku </w:t>
      </w:r>
      <w:r w:rsidRPr="00785460">
        <w:t>20-64</w:t>
      </w:r>
      <w:r w:rsidR="00B32912">
        <w:t xml:space="preserve"> lat</w:t>
      </w:r>
      <w:r w:rsidR="005B7675">
        <w:t>a</w:t>
      </w:r>
      <w:r w:rsidRPr="00785460">
        <w:t xml:space="preserve"> wg płci</w:t>
      </w:r>
      <w:bookmarkEnd w:id="71"/>
    </w:p>
    <w:p w14:paraId="6A838C5D" w14:textId="560BF019" w:rsidR="00C41CD1" w:rsidRDefault="00767B33" w:rsidP="00917386">
      <w:pPr>
        <w:spacing w:after="0"/>
        <w:jc w:val="left"/>
      </w:pPr>
      <w:r w:rsidRPr="00767B33">
        <w:rPr>
          <w:noProof/>
        </w:rPr>
        <w:drawing>
          <wp:inline distT="0" distB="0" distL="0" distR="0" wp14:anchorId="5EB2ED99" wp14:editId="06952E47">
            <wp:extent cx="5375082" cy="3173491"/>
            <wp:effectExtent l="0" t="0" r="0" b="0"/>
            <wp:docPr id="157198613" name="Obraz 17" descr="Wykres 16. Wpływ funduszy UE na liczbę pracujących osób w wieku 20-64 lata wg pł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198613" name="Obraz 17" descr="Wykres 16. Wpływ funduszy UE na liczbę pracujących osób w wieku 20-64 lata wg płci"/>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377911" cy="3175161"/>
                    </a:xfrm>
                    <a:prstGeom prst="rect">
                      <a:avLst/>
                    </a:prstGeom>
                    <a:noFill/>
                    <a:ln>
                      <a:noFill/>
                    </a:ln>
                  </pic:spPr>
                </pic:pic>
              </a:graphicData>
            </a:graphic>
          </wp:inline>
        </w:drawing>
      </w:r>
    </w:p>
    <w:p w14:paraId="78BA1286" w14:textId="5B046056" w:rsidR="00A013BB" w:rsidRPr="00785460" w:rsidRDefault="00C41CD1" w:rsidP="00917386">
      <w:pPr>
        <w:spacing w:after="240" w:line="276" w:lineRule="auto"/>
        <w:jc w:val="left"/>
        <w:rPr>
          <w:rFonts w:ascii="Arial" w:hAnsi="Arial" w:cs="Arial"/>
        </w:rPr>
      </w:pPr>
      <w:r w:rsidRPr="00785460">
        <w:rPr>
          <w:rFonts w:ascii="Arial" w:hAnsi="Arial" w:cs="Arial"/>
          <w:i/>
          <w:iCs/>
        </w:rPr>
        <w:t>Źródło: opracowanie własne na podstawie symulacji modelu VESPA</w:t>
      </w:r>
      <w:r w:rsidR="004033AC" w:rsidRPr="00785460">
        <w:rPr>
          <w:rFonts w:ascii="Arial" w:hAnsi="Arial" w:cs="Arial"/>
          <w:i/>
          <w:iCs/>
        </w:rPr>
        <w:t>.</w:t>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5"/>
        <w:gridCol w:w="135"/>
        <w:gridCol w:w="39"/>
        <w:gridCol w:w="4491"/>
      </w:tblGrid>
      <w:tr w:rsidR="00C41CD1" w14:paraId="77143B3B" w14:textId="77777777" w:rsidTr="00C27264">
        <w:tc>
          <w:tcPr>
            <w:tcW w:w="4530" w:type="dxa"/>
            <w:gridSpan w:val="2"/>
          </w:tcPr>
          <w:p w14:paraId="51550E62" w14:textId="03F1466F" w:rsidR="00C41CD1" w:rsidRPr="00785460" w:rsidRDefault="00C41CD1" w:rsidP="00F15187">
            <w:pPr>
              <w:pStyle w:val="Legenda"/>
            </w:pPr>
            <w:bookmarkStart w:id="72" w:name="_Toc173834347"/>
            <w:r w:rsidRPr="00785460">
              <w:lastRenderedPageBreak/>
              <w:t xml:space="preserve">Mapa </w:t>
            </w:r>
            <w:r>
              <w:fldChar w:fldCharType="begin"/>
            </w:r>
            <w:r>
              <w:instrText>SEQ Mapa \* ARABIC</w:instrText>
            </w:r>
            <w:r>
              <w:fldChar w:fldCharType="separate"/>
            </w:r>
            <w:r w:rsidR="009962A2">
              <w:rPr>
                <w:noProof/>
              </w:rPr>
              <w:t>6</w:t>
            </w:r>
            <w:r>
              <w:fldChar w:fldCharType="end"/>
            </w:r>
            <w:r w:rsidRPr="00785460">
              <w:rPr>
                <w:rFonts w:eastAsia="Times New Roman"/>
                <w:color w:val="auto"/>
              </w:rPr>
              <w:t>.</w:t>
            </w:r>
            <w:r w:rsidRPr="00785460">
              <w:t xml:space="preserve"> Średni wpływ funduszy UE na liczbę pracujących w regionach (w proc.) w latach 2004-2033</w:t>
            </w:r>
            <w:bookmarkEnd w:id="72"/>
          </w:p>
        </w:tc>
        <w:tc>
          <w:tcPr>
            <w:tcW w:w="4530" w:type="dxa"/>
            <w:gridSpan w:val="2"/>
          </w:tcPr>
          <w:p w14:paraId="1565A268" w14:textId="79BDA005" w:rsidR="00C41CD1" w:rsidRPr="00785460" w:rsidRDefault="00C41CD1" w:rsidP="00F15187">
            <w:pPr>
              <w:pStyle w:val="Legenda"/>
            </w:pPr>
            <w:bookmarkStart w:id="73" w:name="_Toc173834326"/>
            <w:r w:rsidRPr="00785460">
              <w:t xml:space="preserve">Wykres </w:t>
            </w:r>
            <w:r>
              <w:fldChar w:fldCharType="begin"/>
            </w:r>
            <w:r>
              <w:instrText>SEQ Wykres \* ARABIC</w:instrText>
            </w:r>
            <w:r>
              <w:fldChar w:fldCharType="separate"/>
            </w:r>
            <w:r w:rsidR="009962A2">
              <w:rPr>
                <w:noProof/>
              </w:rPr>
              <w:t>18</w:t>
            </w:r>
            <w:r>
              <w:fldChar w:fldCharType="end"/>
            </w:r>
            <w:r w:rsidRPr="00785460">
              <w:rPr>
                <w:noProof/>
              </w:rPr>
              <w:t>.</w:t>
            </w:r>
            <w:r w:rsidRPr="00785460">
              <w:t xml:space="preserve"> Średni wpływ funduszy UE na liczbę pracujących w regionach (w proc.) w latach 2004-202</w:t>
            </w:r>
            <w:r w:rsidR="00F50712">
              <w:t>3</w:t>
            </w:r>
            <w:r w:rsidRPr="00785460">
              <w:t xml:space="preserve"> i 202</w:t>
            </w:r>
            <w:r w:rsidR="00F50712">
              <w:t>4</w:t>
            </w:r>
            <w:r w:rsidRPr="00785460">
              <w:t>-2033</w:t>
            </w:r>
            <w:bookmarkEnd w:id="73"/>
          </w:p>
        </w:tc>
      </w:tr>
      <w:tr w:rsidR="002D53D6" w14:paraId="2BED7C84" w14:textId="77777777" w:rsidTr="00C27264">
        <w:tc>
          <w:tcPr>
            <w:tcW w:w="4569" w:type="dxa"/>
            <w:gridSpan w:val="3"/>
          </w:tcPr>
          <w:p w14:paraId="5E314343" w14:textId="5C9BFAF1" w:rsidR="002D53D6" w:rsidRDefault="00767B33" w:rsidP="00F15187">
            <w:pPr>
              <w:spacing w:after="0"/>
              <w:jc w:val="left"/>
              <w:rPr>
                <w:rFonts w:asciiTheme="minorHAnsi" w:hAnsiTheme="minorHAnsi" w:cstheme="minorHAnsi"/>
              </w:rPr>
            </w:pPr>
            <w:r w:rsidRPr="00767B33">
              <w:rPr>
                <w:rFonts w:asciiTheme="minorHAnsi" w:hAnsiTheme="minorHAnsi" w:cstheme="minorHAnsi"/>
                <w:noProof/>
              </w:rPr>
              <w:drawing>
                <wp:inline distT="0" distB="0" distL="0" distR="0" wp14:anchorId="6886A670" wp14:editId="1831F932">
                  <wp:extent cx="2413106" cy="2512640"/>
                  <wp:effectExtent l="0" t="0" r="6350" b="0"/>
                  <wp:docPr id="2123987611" name="Obraz 18" descr="Mapa 5. Średni wpływ funduszy UE na liczbę pracujących w regionach (w proc.) w latach 2004-2033 Wykres 17. Średni wpływ funduszy UE na liczbę pracujących w regionach (w proc.) w latach 2004-2023 i 2024-2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3987611" name="Obraz 18" descr="Mapa 5. Średni wpływ funduszy UE na liczbę pracujących w regionach (w proc.) w latach 2004-2033 Wykres 17. Średni wpływ funduszy UE na liczbę pracujących w regionach (w proc.) w latach 2004-2023 i 2024-2033"/>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419138" cy="2518920"/>
                          </a:xfrm>
                          <a:prstGeom prst="rect">
                            <a:avLst/>
                          </a:prstGeom>
                          <a:noFill/>
                          <a:ln>
                            <a:noFill/>
                          </a:ln>
                        </pic:spPr>
                      </pic:pic>
                    </a:graphicData>
                  </a:graphic>
                </wp:inline>
              </w:drawing>
            </w:r>
          </w:p>
        </w:tc>
        <w:tc>
          <w:tcPr>
            <w:tcW w:w="4491" w:type="dxa"/>
          </w:tcPr>
          <w:p w14:paraId="22EE52DC" w14:textId="668C63A7" w:rsidR="002D53D6" w:rsidRDefault="00F50712" w:rsidP="00F15187">
            <w:pPr>
              <w:spacing w:after="0"/>
              <w:jc w:val="left"/>
              <w:rPr>
                <w:rFonts w:asciiTheme="minorHAnsi" w:hAnsiTheme="minorHAnsi" w:cstheme="minorHAnsi"/>
              </w:rPr>
            </w:pPr>
            <w:r w:rsidRPr="00F50712">
              <w:rPr>
                <w:rFonts w:asciiTheme="minorHAnsi" w:hAnsiTheme="minorHAnsi" w:cstheme="minorHAnsi"/>
                <w:noProof/>
              </w:rPr>
              <w:drawing>
                <wp:inline distT="0" distB="0" distL="0" distR="0" wp14:anchorId="67C62134" wp14:editId="4D4419AA">
                  <wp:extent cx="2545929" cy="2440995"/>
                  <wp:effectExtent l="0" t="0" r="0" b="0"/>
                  <wp:docPr id="1878836202" name="Obraz 33" descr="Mapa 5. Średni wpływ funduszy UE na liczbę pracujących w regionach (w proc.) w latach 2004-2033 Wykres 17. Średni wpływ funduszy UE na liczbę pracujących w regionach (w proc.) w latach 2004-2023 i 2024-2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8836202" name="Obraz 33" descr="Mapa 5. Średni wpływ funduszy UE na liczbę pracujących w regionach (w proc.) w latach 2004-2033 Wykres 17. Średni wpływ funduszy UE na liczbę pracujących w regionach (w proc.) w latach 2004-2023 i 2024-2033"/>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548686" cy="2443639"/>
                          </a:xfrm>
                          <a:prstGeom prst="rect">
                            <a:avLst/>
                          </a:prstGeom>
                          <a:noFill/>
                          <a:ln>
                            <a:noFill/>
                          </a:ln>
                        </pic:spPr>
                      </pic:pic>
                    </a:graphicData>
                  </a:graphic>
                </wp:inline>
              </w:drawing>
            </w:r>
          </w:p>
        </w:tc>
      </w:tr>
      <w:tr w:rsidR="000F3F4B" w:rsidRPr="00785460" w14:paraId="0A4A36D0" w14:textId="77777777" w:rsidTr="00A60B4B">
        <w:tc>
          <w:tcPr>
            <w:tcW w:w="4395" w:type="dxa"/>
          </w:tcPr>
          <w:p w14:paraId="209930BB" w14:textId="77777777" w:rsidR="000F3F4B" w:rsidRPr="00785460" w:rsidRDefault="000F3F4B" w:rsidP="00F15187">
            <w:pPr>
              <w:spacing w:after="240" w:line="276" w:lineRule="auto"/>
              <w:jc w:val="left"/>
              <w:rPr>
                <w:rFonts w:ascii="Arial" w:hAnsi="Arial" w:cs="Arial"/>
                <w:i/>
                <w:iCs/>
              </w:rPr>
            </w:pPr>
            <w:r w:rsidRPr="00785460">
              <w:rPr>
                <w:rFonts w:ascii="Arial" w:hAnsi="Arial" w:cs="Arial"/>
                <w:i/>
                <w:iCs/>
              </w:rPr>
              <w:t>Źródło: opracowanie własne na podstawie symulacji modelu VESPA.</w:t>
            </w:r>
          </w:p>
        </w:tc>
        <w:tc>
          <w:tcPr>
            <w:tcW w:w="4665" w:type="dxa"/>
            <w:gridSpan w:val="3"/>
          </w:tcPr>
          <w:p w14:paraId="2FEF4C2D" w14:textId="77777777" w:rsidR="000F3F4B" w:rsidRPr="00785460" w:rsidRDefault="000F3F4B" w:rsidP="00F15187">
            <w:pPr>
              <w:spacing w:after="240" w:line="276" w:lineRule="auto"/>
              <w:jc w:val="left"/>
              <w:rPr>
                <w:rFonts w:ascii="Arial" w:hAnsi="Arial" w:cs="Arial"/>
                <w:i/>
                <w:iCs/>
              </w:rPr>
            </w:pPr>
            <w:r w:rsidRPr="00785460">
              <w:rPr>
                <w:rFonts w:ascii="Arial" w:hAnsi="Arial" w:cs="Arial"/>
                <w:i/>
                <w:iCs/>
              </w:rPr>
              <w:t>Źródło: opracowanie własne na podstawie symulacji modelu VESPA.</w:t>
            </w:r>
          </w:p>
        </w:tc>
      </w:tr>
    </w:tbl>
    <w:p w14:paraId="740F571A" w14:textId="5CBE5DAF" w:rsidR="00A013BB" w:rsidRPr="005C3719" w:rsidRDefault="1708A881" w:rsidP="00917386">
      <w:pPr>
        <w:spacing w:after="120" w:line="276" w:lineRule="auto"/>
        <w:jc w:val="left"/>
        <w:rPr>
          <w:rFonts w:ascii="Arial" w:hAnsi="Arial" w:cs="Arial"/>
        </w:rPr>
      </w:pPr>
      <w:bookmarkStart w:id="74" w:name="_Hlk136006552"/>
      <w:r w:rsidRPr="4A5201E7">
        <w:rPr>
          <w:rFonts w:ascii="Arial" w:hAnsi="Arial" w:cs="Arial"/>
        </w:rPr>
        <w:t>Szczyt pozytywnego oddziaływania funduszy UE na rynek pracy spodziewany jest w latach 2026-2027, kiedy wskaźnik zatrudnienia może być nawet o 3 punkty procentowe wyższy niż w scenariuszu „bez</w:t>
      </w:r>
      <w:r w:rsidR="00EF4149" w:rsidRPr="4A5201E7">
        <w:rPr>
          <w:rFonts w:ascii="Arial" w:hAnsi="Arial" w:cs="Arial"/>
        </w:rPr>
        <w:t> </w:t>
      </w:r>
      <w:r w:rsidRPr="4A5201E7">
        <w:rPr>
          <w:rFonts w:ascii="Arial" w:hAnsi="Arial" w:cs="Arial"/>
        </w:rPr>
        <w:t>funduszy”. Regionalnie wskaźnik zatrudnienia najsilniej wzrósł w Polsce Wschodniej, a najmniej w</w:t>
      </w:r>
      <w:r w:rsidR="00EF4149" w:rsidRPr="4A5201E7">
        <w:rPr>
          <w:rFonts w:ascii="Arial" w:hAnsi="Arial" w:cs="Arial"/>
        </w:rPr>
        <w:t> </w:t>
      </w:r>
      <w:r w:rsidRPr="4A5201E7">
        <w:rPr>
          <w:rFonts w:ascii="Arial" w:hAnsi="Arial" w:cs="Arial"/>
        </w:rPr>
        <w:t xml:space="preserve">województwie </w:t>
      </w:r>
      <w:r w:rsidR="75A622A3" w:rsidRPr="4A5201E7">
        <w:rPr>
          <w:rFonts w:ascii="Arial" w:hAnsi="Arial" w:cs="Arial"/>
        </w:rPr>
        <w:t>m</w:t>
      </w:r>
      <w:r w:rsidRPr="4A5201E7">
        <w:rPr>
          <w:rFonts w:ascii="Arial" w:hAnsi="Arial" w:cs="Arial"/>
        </w:rPr>
        <w:t>azowieckim oraz innych zamożnych regionach (Wielkopolsce, Górnym i Dolnym Śląsku), gdzie wskaźnik zatrudnienia byłby stosunkowo wysoki nawet bez funduszy UE. Wzrost zatrudnienia wynikał częściowo ze spadku bezrobocia i częściowo ze wzrostu aktywności zawodowej. Większe zaangażowanie na rynku pracy osób zatrudnionych dzięki funduszom unijnym oznacza, że</w:t>
      </w:r>
      <w:r w:rsidR="00EF4149" w:rsidRPr="4A5201E7">
        <w:rPr>
          <w:rFonts w:ascii="Arial" w:hAnsi="Arial" w:cs="Arial"/>
        </w:rPr>
        <w:t> </w:t>
      </w:r>
      <w:r w:rsidRPr="4A5201E7">
        <w:rPr>
          <w:rFonts w:ascii="Arial" w:hAnsi="Arial" w:cs="Arial"/>
        </w:rPr>
        <w:t>nawet po stopniowym wycofaniu finansowania po 2027 roku, wyższa liczba pracujących i wyższy wskaźnik zatrudnienia utrzymają się przez co najmniej pięć lat. Ewentualne środki z kolejnej perspektywy finansowej mogłyby dodatkowo wzmocnić ten efekt.</w:t>
      </w:r>
    </w:p>
    <w:p w14:paraId="5117B89B" w14:textId="25ED9DF9" w:rsidR="00A013BB" w:rsidRPr="00785460" w:rsidRDefault="00C41CD1" w:rsidP="00F15187">
      <w:pPr>
        <w:pStyle w:val="Legenda"/>
      </w:pPr>
      <w:bookmarkStart w:id="75" w:name="_Toc173834327"/>
      <w:bookmarkEnd w:id="74"/>
      <w:r w:rsidRPr="00785460">
        <w:t xml:space="preserve">Wykres </w:t>
      </w:r>
      <w:fldSimple w:instr=" SEQ Wykres \* ARABIC ">
        <w:r w:rsidR="009962A2">
          <w:rPr>
            <w:noProof/>
          </w:rPr>
          <w:t>19</w:t>
        </w:r>
      </w:fldSimple>
      <w:r w:rsidRPr="00785460">
        <w:t>. Wpływ funduszy UE na wskaźnik zatrudnienia</w:t>
      </w:r>
      <w:r w:rsidR="00367B0B">
        <w:t xml:space="preserve"> osób w wieku</w:t>
      </w:r>
      <w:r w:rsidRPr="00785460">
        <w:t xml:space="preserve"> 20-64</w:t>
      </w:r>
      <w:bookmarkEnd w:id="75"/>
      <w:r w:rsidR="00E00350">
        <w:t xml:space="preserve"> lata</w:t>
      </w:r>
    </w:p>
    <w:p w14:paraId="4114C2EB" w14:textId="6243DF59" w:rsidR="00C41CD1" w:rsidRDefault="00767B33" w:rsidP="00917386">
      <w:pPr>
        <w:spacing w:after="0"/>
        <w:jc w:val="left"/>
        <w:rPr>
          <w:sz w:val="22"/>
          <w:szCs w:val="22"/>
        </w:rPr>
      </w:pPr>
      <w:r w:rsidRPr="00767B33">
        <w:rPr>
          <w:noProof/>
        </w:rPr>
        <w:drawing>
          <wp:inline distT="0" distB="0" distL="0" distR="0" wp14:anchorId="700FD97E" wp14:editId="057C137B">
            <wp:extent cx="5041127" cy="3023009"/>
            <wp:effectExtent l="0" t="0" r="0" b="0"/>
            <wp:docPr id="1094884497" name="Obraz 19" descr="Wykres 18. Wpływ funduszy UE na wskaźnik zatrudnienia osób w wieku 20-64 l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4884497" name="Obraz 19" descr="Wykres 18. Wpływ funduszy UE na wskaźnik zatrudnienia osób w wieku 20-64 lata"/>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049569" cy="3028072"/>
                    </a:xfrm>
                    <a:prstGeom prst="rect">
                      <a:avLst/>
                    </a:prstGeom>
                    <a:noFill/>
                    <a:ln>
                      <a:noFill/>
                    </a:ln>
                  </pic:spPr>
                </pic:pic>
              </a:graphicData>
            </a:graphic>
          </wp:inline>
        </w:drawing>
      </w:r>
    </w:p>
    <w:p w14:paraId="7760AD24" w14:textId="19EE60B4" w:rsidR="00C41CD1" w:rsidRPr="00785460" w:rsidRDefault="00C41CD1" w:rsidP="00917386">
      <w:pPr>
        <w:spacing w:after="240" w:line="276" w:lineRule="auto"/>
        <w:jc w:val="left"/>
        <w:rPr>
          <w:rFonts w:ascii="Arial" w:hAnsi="Arial" w:cs="Arial"/>
          <w:i/>
          <w:iCs/>
          <w:sz w:val="22"/>
          <w:szCs w:val="22"/>
        </w:rPr>
      </w:pPr>
      <w:r w:rsidRPr="00785460">
        <w:rPr>
          <w:rFonts w:ascii="Arial" w:hAnsi="Arial" w:cs="Arial"/>
          <w:i/>
          <w:iCs/>
        </w:rPr>
        <w:t>Źródło: opracowanie własne na podstawie symulacji modelu VESPA</w:t>
      </w:r>
      <w:r w:rsidR="004033AC" w:rsidRPr="00785460">
        <w:rPr>
          <w:rFonts w:ascii="Arial" w:hAnsi="Arial" w:cs="Arial"/>
          <w:i/>
          <w:iCs/>
        </w:rPr>
        <w:t>.</w:t>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81"/>
        <w:gridCol w:w="114"/>
        <w:gridCol w:w="135"/>
        <w:gridCol w:w="4530"/>
      </w:tblGrid>
      <w:tr w:rsidR="00C41CD1" w14:paraId="10AF4EC9" w14:textId="77777777" w:rsidTr="00C27264">
        <w:tc>
          <w:tcPr>
            <w:tcW w:w="4530" w:type="dxa"/>
            <w:gridSpan w:val="3"/>
          </w:tcPr>
          <w:p w14:paraId="0AC44EC6" w14:textId="53203AC4" w:rsidR="00C41CD1" w:rsidRPr="00785460" w:rsidRDefault="00C41CD1" w:rsidP="00F15187">
            <w:pPr>
              <w:pStyle w:val="Legenda"/>
            </w:pPr>
            <w:bookmarkStart w:id="76" w:name="_Toc173834348"/>
            <w:r w:rsidRPr="00785460">
              <w:lastRenderedPageBreak/>
              <w:t xml:space="preserve">Mapa </w:t>
            </w:r>
            <w:r>
              <w:fldChar w:fldCharType="begin"/>
            </w:r>
            <w:r>
              <w:instrText>SEQ Mapa \* ARABIC</w:instrText>
            </w:r>
            <w:r>
              <w:fldChar w:fldCharType="separate"/>
            </w:r>
            <w:r w:rsidR="009962A2">
              <w:rPr>
                <w:noProof/>
              </w:rPr>
              <w:t>7</w:t>
            </w:r>
            <w:r>
              <w:fldChar w:fldCharType="end"/>
            </w:r>
            <w:r w:rsidRPr="00785460">
              <w:rPr>
                <w:rFonts w:eastAsia="Times New Roman"/>
                <w:color w:val="auto"/>
              </w:rPr>
              <w:t>.</w:t>
            </w:r>
            <w:r w:rsidRPr="00785460">
              <w:t xml:space="preserve"> Średni wpływ funduszy UE na wskaźnik zatrudnienia w regionach (w proc.) w latach 2004-2033</w:t>
            </w:r>
            <w:bookmarkEnd w:id="76"/>
            <w:r w:rsidRPr="00785460">
              <w:t xml:space="preserve"> </w:t>
            </w:r>
          </w:p>
        </w:tc>
        <w:tc>
          <w:tcPr>
            <w:tcW w:w="4530" w:type="dxa"/>
          </w:tcPr>
          <w:p w14:paraId="5052B9D0" w14:textId="6FA29765" w:rsidR="00C41CD1" w:rsidRPr="00785460" w:rsidRDefault="00C41CD1" w:rsidP="00F15187">
            <w:pPr>
              <w:pStyle w:val="Legenda"/>
            </w:pPr>
            <w:bookmarkStart w:id="77" w:name="_Toc173834328"/>
            <w:r w:rsidRPr="00785460">
              <w:t xml:space="preserve">Wykres </w:t>
            </w:r>
            <w:r>
              <w:fldChar w:fldCharType="begin"/>
            </w:r>
            <w:r>
              <w:instrText>SEQ Wykres \* ARABIC</w:instrText>
            </w:r>
            <w:r>
              <w:fldChar w:fldCharType="separate"/>
            </w:r>
            <w:r w:rsidR="009962A2">
              <w:rPr>
                <w:noProof/>
              </w:rPr>
              <w:t>20</w:t>
            </w:r>
            <w:r>
              <w:fldChar w:fldCharType="end"/>
            </w:r>
            <w:r w:rsidRPr="00785460">
              <w:rPr>
                <w:noProof/>
              </w:rPr>
              <w:t>.</w:t>
            </w:r>
            <w:r w:rsidRPr="00785460">
              <w:t xml:space="preserve"> Średni wpływ funduszy UE na wskaźnik zatrudnienia w regionach (w proc.) w latach 2004-202</w:t>
            </w:r>
            <w:r w:rsidR="00F50712">
              <w:t>3</w:t>
            </w:r>
            <w:r w:rsidRPr="00785460">
              <w:t xml:space="preserve"> i 202</w:t>
            </w:r>
            <w:r w:rsidR="00F50712">
              <w:t>4</w:t>
            </w:r>
            <w:r w:rsidRPr="00785460">
              <w:t>-2033</w:t>
            </w:r>
            <w:bookmarkEnd w:id="77"/>
          </w:p>
        </w:tc>
      </w:tr>
      <w:tr w:rsidR="009E53F7" w14:paraId="07340EC5" w14:textId="77777777" w:rsidTr="00C27264">
        <w:tc>
          <w:tcPr>
            <w:tcW w:w="4281" w:type="dxa"/>
          </w:tcPr>
          <w:p w14:paraId="306E2FEA" w14:textId="6A6D14C0" w:rsidR="009E53F7" w:rsidRDefault="00767B33" w:rsidP="00F15187">
            <w:pPr>
              <w:spacing w:after="0"/>
              <w:jc w:val="left"/>
              <w:rPr>
                <w:rFonts w:asciiTheme="minorHAnsi" w:hAnsiTheme="minorHAnsi" w:cstheme="minorHAnsi"/>
              </w:rPr>
            </w:pPr>
            <w:r w:rsidRPr="00767B33">
              <w:rPr>
                <w:rFonts w:asciiTheme="minorHAnsi" w:hAnsiTheme="minorHAnsi" w:cstheme="minorHAnsi"/>
                <w:noProof/>
              </w:rPr>
              <w:drawing>
                <wp:inline distT="0" distB="0" distL="0" distR="0" wp14:anchorId="4776FE64" wp14:editId="377B72EA">
                  <wp:extent cx="2545978" cy="2496461"/>
                  <wp:effectExtent l="0" t="0" r="6985" b="0"/>
                  <wp:docPr id="390696397" name="Obraz 20" descr="Mapa 6. Średni wpływ funduszy UE na wskaźnik zatrudnienia w regionach (w proc.) w latach 2004-2033  Wykres 19. Średni wpływ funduszy UE na wskaźnik zatrudnienia w regionach (w proc.) w latach 2004-2023 i 2024-2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696397" name="Obraz 20" descr="Mapa 6. Średni wpływ funduszy UE na wskaźnik zatrudnienia w regionach (w proc.) w latach 2004-2033  Wykres 19. Średni wpływ funduszy UE na wskaźnik zatrudnienia w regionach (w proc.) w latach 2004-2023 i 2024-2033"/>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555942" cy="2506231"/>
                          </a:xfrm>
                          <a:prstGeom prst="rect">
                            <a:avLst/>
                          </a:prstGeom>
                          <a:noFill/>
                          <a:ln>
                            <a:noFill/>
                          </a:ln>
                        </pic:spPr>
                      </pic:pic>
                    </a:graphicData>
                  </a:graphic>
                </wp:inline>
              </w:drawing>
            </w:r>
          </w:p>
        </w:tc>
        <w:tc>
          <w:tcPr>
            <w:tcW w:w="4779" w:type="dxa"/>
            <w:gridSpan w:val="3"/>
          </w:tcPr>
          <w:p w14:paraId="0E30F502" w14:textId="7C0C08A2" w:rsidR="009E53F7" w:rsidRDefault="00F50712" w:rsidP="00F15187">
            <w:pPr>
              <w:spacing w:after="0"/>
              <w:jc w:val="left"/>
              <w:rPr>
                <w:rFonts w:asciiTheme="minorHAnsi" w:hAnsiTheme="minorHAnsi" w:cstheme="minorHAnsi"/>
              </w:rPr>
            </w:pPr>
            <w:r w:rsidRPr="00F50712">
              <w:rPr>
                <w:rFonts w:asciiTheme="minorHAnsi" w:hAnsiTheme="minorHAnsi" w:cstheme="minorHAnsi"/>
                <w:noProof/>
              </w:rPr>
              <w:drawing>
                <wp:inline distT="0" distB="0" distL="0" distR="0" wp14:anchorId="785777EE" wp14:editId="30571962">
                  <wp:extent cx="2628860" cy="2520508"/>
                  <wp:effectExtent l="0" t="0" r="0" b="0"/>
                  <wp:docPr id="529035228" name="Obraz 36" descr="Mapa 6. Średni wpływ funduszy UE na wskaźnik zatrudnienia w regionach (w proc.) w latach 2004-2033  Wykres 19. Średni wpływ funduszy UE na wskaźnik zatrudnienia w regionach (w proc.) w latach 2004-2023 i 2024-2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035228" name="Obraz 36" descr="Mapa 6. Średni wpływ funduszy UE na wskaźnik zatrudnienia w regionach (w proc.) w latach 2004-2033  Wykres 19. Średni wpływ funduszy UE na wskaźnik zatrudnienia w regionach (w proc.) w latach 2004-2023 i 2024-2033"/>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635240" cy="2526625"/>
                          </a:xfrm>
                          <a:prstGeom prst="rect">
                            <a:avLst/>
                          </a:prstGeom>
                          <a:noFill/>
                          <a:ln>
                            <a:noFill/>
                          </a:ln>
                        </pic:spPr>
                      </pic:pic>
                    </a:graphicData>
                  </a:graphic>
                </wp:inline>
              </w:drawing>
            </w:r>
          </w:p>
        </w:tc>
      </w:tr>
      <w:tr w:rsidR="000F3F4B" w:rsidRPr="00785460" w14:paraId="3D7EDAFC" w14:textId="77777777" w:rsidTr="00A60B4B">
        <w:tc>
          <w:tcPr>
            <w:tcW w:w="4395" w:type="dxa"/>
            <w:gridSpan w:val="2"/>
          </w:tcPr>
          <w:p w14:paraId="6F9184EF" w14:textId="77777777" w:rsidR="000F3F4B" w:rsidRPr="00785460" w:rsidRDefault="000F3F4B" w:rsidP="00F15187">
            <w:pPr>
              <w:spacing w:after="240" w:line="276" w:lineRule="auto"/>
              <w:jc w:val="left"/>
              <w:rPr>
                <w:rFonts w:ascii="Arial" w:hAnsi="Arial" w:cs="Arial"/>
                <w:i/>
                <w:iCs/>
              </w:rPr>
            </w:pPr>
            <w:r w:rsidRPr="00785460">
              <w:rPr>
                <w:rFonts w:ascii="Arial" w:hAnsi="Arial" w:cs="Arial"/>
                <w:i/>
                <w:iCs/>
              </w:rPr>
              <w:t>Źródło: opracowanie własne na podstawie symulacji modelu VESPA.</w:t>
            </w:r>
          </w:p>
        </w:tc>
        <w:tc>
          <w:tcPr>
            <w:tcW w:w="4665" w:type="dxa"/>
            <w:gridSpan w:val="2"/>
          </w:tcPr>
          <w:p w14:paraId="3CA5BE35" w14:textId="77777777" w:rsidR="000F3F4B" w:rsidRPr="00785460" w:rsidRDefault="000F3F4B" w:rsidP="00F15187">
            <w:pPr>
              <w:spacing w:after="240" w:line="276" w:lineRule="auto"/>
              <w:jc w:val="left"/>
              <w:rPr>
                <w:rFonts w:ascii="Arial" w:hAnsi="Arial" w:cs="Arial"/>
                <w:i/>
                <w:iCs/>
              </w:rPr>
            </w:pPr>
            <w:r w:rsidRPr="00785460">
              <w:rPr>
                <w:rFonts w:ascii="Arial" w:hAnsi="Arial" w:cs="Arial"/>
                <w:i/>
                <w:iCs/>
              </w:rPr>
              <w:t>Źródło: opracowanie własne na podstawie symulacji modelu VESPA.</w:t>
            </w:r>
          </w:p>
        </w:tc>
      </w:tr>
    </w:tbl>
    <w:p w14:paraId="3B404783" w14:textId="0BC27819" w:rsidR="00EC5C51" w:rsidRPr="00917386" w:rsidRDefault="00EC5C51" w:rsidP="00917386">
      <w:pPr>
        <w:pStyle w:val="Styl1"/>
        <w:jc w:val="left"/>
        <w:rPr>
          <w:color w:val="3C3C3C"/>
        </w:rPr>
      </w:pPr>
      <w:bookmarkStart w:id="78" w:name="_Toc176241627"/>
      <w:r w:rsidRPr="00917386">
        <w:rPr>
          <w:color w:val="3C3C3C"/>
        </w:rPr>
        <w:t>Wpływ na bezrobocie</w:t>
      </w:r>
      <w:bookmarkEnd w:id="78"/>
    </w:p>
    <w:p w14:paraId="2C044AC7" w14:textId="252F95B1" w:rsidR="00EC5C51" w:rsidRPr="005C3719" w:rsidRDefault="00670BBF" w:rsidP="00917386">
      <w:pPr>
        <w:spacing w:after="120" w:line="276" w:lineRule="auto"/>
        <w:jc w:val="left"/>
        <w:rPr>
          <w:rFonts w:ascii="Arial" w:hAnsi="Arial" w:cs="Arial"/>
        </w:rPr>
      </w:pPr>
      <w:bookmarkStart w:id="79" w:name="_Hlk136006564"/>
      <w:r w:rsidRPr="00670BBF">
        <w:rPr>
          <w:rFonts w:ascii="Arial" w:hAnsi="Arial" w:cs="Arial"/>
        </w:rPr>
        <w:t>Zwiększenie zatrudnienia wiązało się bezpośrednio ze spadkiem bezrobocia. Szacunki modelu VESPA wskazują, że w latach 2011-2014, czyli w okresie spowolnienia gospodarczego wywołanego kryzysem w strefie euro, stopa bezrobocia w Polsce wzrosła nieznacznie, głównie dzięki napływowi dużych środków inwestycyjnych finansowanych lub współfinansowanych z funduszy UE. W tym okresie stopa bezrobocia była nawet o 3-4 punkty procentowe niższa niż byłoby to możliwe bez tych wydatków.</w:t>
      </w:r>
      <w:r>
        <w:rPr>
          <w:rFonts w:ascii="Arial" w:hAnsi="Arial" w:cs="Arial"/>
        </w:rPr>
        <w:t xml:space="preserve"> </w:t>
      </w:r>
      <w:r w:rsidRPr="00670BBF">
        <w:rPr>
          <w:rFonts w:ascii="Arial" w:hAnsi="Arial" w:cs="Arial"/>
        </w:rPr>
        <w:t>Pozytywny wpływ funduszy unijnych na popyt na pracę nie był jedynym mechanizmem wspomagającym polski rynek pracy w okresie kryzysu. Model VESPA sugeruje, że liczba bezrobotnych obniżyła się w</w:t>
      </w:r>
      <w:r w:rsidR="00EF4149">
        <w:rPr>
          <w:rFonts w:ascii="Arial" w:hAnsi="Arial" w:cs="Arial"/>
        </w:rPr>
        <w:t> </w:t>
      </w:r>
      <w:r w:rsidRPr="00670BBF">
        <w:rPr>
          <w:rFonts w:ascii="Arial" w:hAnsi="Arial" w:cs="Arial"/>
        </w:rPr>
        <w:t>tym czasie bardziej niż wzrosło zatrudnienie. Wynikało to z przejściowego wzrostu bierności zawodowej, głównie dzięki umożliwieniu akumulacji kapitału ludzkiego przez część (około 50-100 tys.) osób, które w innym przypadku stałyby się bezrobotne.</w:t>
      </w:r>
      <w:r>
        <w:rPr>
          <w:rFonts w:ascii="Arial" w:hAnsi="Arial" w:cs="Arial"/>
        </w:rPr>
        <w:t xml:space="preserve"> </w:t>
      </w:r>
      <w:r w:rsidRPr="00670BBF">
        <w:rPr>
          <w:rFonts w:ascii="Arial" w:hAnsi="Arial" w:cs="Arial"/>
        </w:rPr>
        <w:t>Po roku 2014, wraz z ożywieniem gospodarczym, zatrudnienie i aktywność zawodowa zaczęły rosnąć szybciej niż spadała liczba osób bezrobotnych. Było to wynikiem zarówno sekularnego (tj. niezależnego od wydatków UE) spadku liczby osób bezrobotnych, jak i pozytywnego wpływu funduszy unijnych na wzrost aktywności zawodowej i popytu na pracę w</w:t>
      </w:r>
      <w:r w:rsidR="00EF4149">
        <w:rPr>
          <w:rFonts w:ascii="Arial" w:hAnsi="Arial" w:cs="Arial"/>
        </w:rPr>
        <w:t> </w:t>
      </w:r>
      <w:r w:rsidRPr="00670BBF">
        <w:rPr>
          <w:rFonts w:ascii="Arial" w:hAnsi="Arial" w:cs="Arial"/>
        </w:rPr>
        <w:t>Polsce. Pozytywny wpływ na zatrudnienie miał zarówno rozwój infrastruktury podstawowej (wzrost popytu na pracę dzięki zwiększeniu możliwości produkcyjnych gospodarki), jak i środki przeznaczane na rozwój zasobów ludzkich (wzrost zatrudnialności osób wcześniej bezrobotnych lub biernych) oraz bezpośrednie wsparcie przedsiębiorstw (wzrost popytu na pracę ze strony inwestujących firm).</w:t>
      </w:r>
      <w:r>
        <w:rPr>
          <w:rFonts w:ascii="Arial" w:hAnsi="Arial" w:cs="Arial"/>
        </w:rPr>
        <w:t xml:space="preserve"> </w:t>
      </w:r>
      <w:r w:rsidRPr="00670BBF">
        <w:rPr>
          <w:rFonts w:ascii="Arial" w:hAnsi="Arial" w:cs="Arial"/>
        </w:rPr>
        <w:t>W</w:t>
      </w:r>
      <w:r w:rsidR="00EF4149">
        <w:rPr>
          <w:rFonts w:ascii="Arial" w:hAnsi="Arial" w:cs="Arial"/>
        </w:rPr>
        <w:t> </w:t>
      </w:r>
      <w:r w:rsidRPr="00670BBF">
        <w:rPr>
          <w:rFonts w:ascii="Arial" w:hAnsi="Arial" w:cs="Arial"/>
        </w:rPr>
        <w:t>rezultacie tych działań, stopa bezrobocia w całym analizowanym okresie była, w zależności od</w:t>
      </w:r>
      <w:r w:rsidR="00EF4149">
        <w:rPr>
          <w:rFonts w:ascii="Arial" w:hAnsi="Arial" w:cs="Arial"/>
        </w:rPr>
        <w:t> </w:t>
      </w:r>
      <w:r w:rsidRPr="00670BBF">
        <w:rPr>
          <w:rFonts w:ascii="Arial" w:hAnsi="Arial" w:cs="Arial"/>
        </w:rPr>
        <w:t>regionu, od 0,6 do 3,2 punkty procentowe niższa niż w scenariuszu kontrfaktycznym, przy czym najsilniejsze oddziaływanie dotyczyło relatywnie najmniej rozwiniętych województw, w których bazowy poziom bezrobocia był wyjściowo najwyższy.</w:t>
      </w:r>
    </w:p>
    <w:p w14:paraId="0A7F658B" w14:textId="7080799E" w:rsidR="00C41CD1" w:rsidRPr="00785460" w:rsidRDefault="00C41CD1" w:rsidP="00F15187">
      <w:pPr>
        <w:pStyle w:val="Legenda"/>
      </w:pPr>
      <w:bookmarkStart w:id="80" w:name="_Toc173834329"/>
      <w:r w:rsidRPr="00785460">
        <w:lastRenderedPageBreak/>
        <w:t xml:space="preserve">Wykres </w:t>
      </w:r>
      <w:fldSimple w:instr=" SEQ Wykres \* ARABIC ">
        <w:r w:rsidR="009962A2">
          <w:rPr>
            <w:noProof/>
          </w:rPr>
          <w:t>21</w:t>
        </w:r>
      </w:fldSimple>
      <w:r w:rsidRPr="00785460">
        <w:rPr>
          <w:noProof/>
        </w:rPr>
        <w:t>.</w:t>
      </w:r>
      <w:r w:rsidRPr="00785460">
        <w:t xml:space="preserve"> Wpływ funduszy UE na stopę bezrobocia</w:t>
      </w:r>
      <w:r w:rsidR="00DC55EE">
        <w:t xml:space="preserve"> osób w wieku</w:t>
      </w:r>
      <w:r w:rsidRPr="00785460">
        <w:t xml:space="preserve"> 15+</w:t>
      </w:r>
      <w:bookmarkEnd w:id="80"/>
    </w:p>
    <w:p w14:paraId="18C5B72A" w14:textId="107E0091" w:rsidR="00C41CD1" w:rsidRDefault="00767B33" w:rsidP="00917386">
      <w:pPr>
        <w:spacing w:after="0"/>
        <w:jc w:val="left"/>
        <w:rPr>
          <w:sz w:val="22"/>
          <w:szCs w:val="22"/>
        </w:rPr>
      </w:pPr>
      <w:r w:rsidRPr="00767B33">
        <w:rPr>
          <w:noProof/>
        </w:rPr>
        <w:drawing>
          <wp:inline distT="0" distB="0" distL="0" distR="0" wp14:anchorId="18FAEA88" wp14:editId="2A13386F">
            <wp:extent cx="5713529" cy="3411109"/>
            <wp:effectExtent l="0" t="0" r="0" b="0"/>
            <wp:docPr id="2088456213" name="Obraz 21" descr="Wykres 20. Wpływ funduszy UE na stopę bezrobocia osób w wieku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8456213" name="Obraz 21" descr="Wykres 20. Wpływ funduszy UE na stopę bezrobocia osób w wieku 15+"/>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714824" cy="3411882"/>
                    </a:xfrm>
                    <a:prstGeom prst="rect">
                      <a:avLst/>
                    </a:prstGeom>
                    <a:noFill/>
                    <a:ln>
                      <a:noFill/>
                    </a:ln>
                  </pic:spPr>
                </pic:pic>
              </a:graphicData>
            </a:graphic>
          </wp:inline>
        </w:drawing>
      </w:r>
    </w:p>
    <w:p w14:paraId="0A82E5BD" w14:textId="0A083F9B" w:rsidR="00C41CD1" w:rsidRPr="00785460" w:rsidRDefault="00C41CD1" w:rsidP="00917386">
      <w:pPr>
        <w:spacing w:after="240" w:line="276" w:lineRule="auto"/>
        <w:jc w:val="left"/>
        <w:rPr>
          <w:rFonts w:ascii="Arial" w:hAnsi="Arial" w:cs="Arial"/>
        </w:rPr>
      </w:pPr>
      <w:r w:rsidRPr="00785460">
        <w:rPr>
          <w:rFonts w:ascii="Arial" w:hAnsi="Arial" w:cs="Arial"/>
          <w:i/>
          <w:iCs/>
        </w:rPr>
        <w:t>Źródło: opracowanie własne na podstawie symulacji modelu VESPA</w:t>
      </w:r>
      <w:r w:rsidR="004033AC" w:rsidRPr="00785460">
        <w:rPr>
          <w:rFonts w:ascii="Arial" w:hAnsi="Arial" w:cs="Arial"/>
          <w:i/>
          <w:iCs/>
        </w:rPr>
        <w:t>.</w:t>
      </w:r>
    </w:p>
    <w:p w14:paraId="31ED1072" w14:textId="490B25EF" w:rsidR="00C41CD1" w:rsidRPr="00785460" w:rsidRDefault="00C41CD1" w:rsidP="00F15187">
      <w:pPr>
        <w:pStyle w:val="Legenda"/>
      </w:pPr>
      <w:bookmarkStart w:id="81" w:name="_Toc173834330"/>
      <w:r w:rsidRPr="00785460">
        <w:t xml:space="preserve">Wykres </w:t>
      </w:r>
      <w:fldSimple w:instr=" SEQ Wykres \* ARABIC ">
        <w:r w:rsidR="009962A2">
          <w:rPr>
            <w:noProof/>
          </w:rPr>
          <w:t>22</w:t>
        </w:r>
      </w:fldSimple>
      <w:r w:rsidRPr="00785460">
        <w:rPr>
          <w:noProof/>
        </w:rPr>
        <w:t>.</w:t>
      </w:r>
      <w:r w:rsidRPr="00785460">
        <w:t xml:space="preserve"> Wpływ funduszy UE na liczbę osób bezrobotnych</w:t>
      </w:r>
      <w:r w:rsidR="002A7CD4">
        <w:t xml:space="preserve"> w wieku</w:t>
      </w:r>
      <w:r w:rsidR="001D17CF">
        <w:t xml:space="preserve"> </w:t>
      </w:r>
      <w:r w:rsidRPr="00785460">
        <w:t>15+</w:t>
      </w:r>
      <w:bookmarkEnd w:id="81"/>
    </w:p>
    <w:p w14:paraId="2E1A09CC" w14:textId="0D3C7F9D" w:rsidR="00C41CD1" w:rsidRDefault="00767B33" w:rsidP="00917386">
      <w:pPr>
        <w:spacing w:after="0"/>
        <w:jc w:val="left"/>
        <w:rPr>
          <w:sz w:val="22"/>
          <w:szCs w:val="22"/>
        </w:rPr>
      </w:pPr>
      <w:r w:rsidRPr="00767B33">
        <w:rPr>
          <w:noProof/>
        </w:rPr>
        <w:drawing>
          <wp:inline distT="0" distB="0" distL="0" distR="0" wp14:anchorId="0E28C298" wp14:editId="5CC1F924">
            <wp:extent cx="5759450" cy="3155950"/>
            <wp:effectExtent l="0" t="0" r="0" b="0"/>
            <wp:docPr id="1424528063" name="Obraz 22" descr="Wykres 21. Wpływ funduszy UE na liczbę osób bezrobotnych w wieku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4528063" name="Obraz 22" descr="Wykres 21. Wpływ funduszy UE na liczbę osób bezrobotnych w wieku  15+"/>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759450" cy="3155950"/>
                    </a:xfrm>
                    <a:prstGeom prst="rect">
                      <a:avLst/>
                    </a:prstGeom>
                    <a:noFill/>
                    <a:ln>
                      <a:noFill/>
                    </a:ln>
                  </pic:spPr>
                </pic:pic>
              </a:graphicData>
            </a:graphic>
          </wp:inline>
        </w:drawing>
      </w:r>
    </w:p>
    <w:p w14:paraId="32833FF4" w14:textId="797CD427" w:rsidR="004A1C80" w:rsidRPr="00785460" w:rsidRDefault="00C41CD1" w:rsidP="00917386">
      <w:pPr>
        <w:spacing w:after="240" w:line="276" w:lineRule="auto"/>
        <w:jc w:val="left"/>
        <w:rPr>
          <w:rFonts w:ascii="Arial" w:hAnsi="Arial" w:cs="Arial"/>
        </w:rPr>
      </w:pPr>
      <w:r w:rsidRPr="00785460">
        <w:rPr>
          <w:rFonts w:ascii="Arial" w:hAnsi="Arial" w:cs="Arial"/>
          <w:i/>
          <w:iCs/>
        </w:rPr>
        <w:t>Źródło: opracowanie własne na podstawie symulacji modelu VESPA</w:t>
      </w:r>
      <w:r w:rsidR="004033AC" w:rsidRPr="00785460">
        <w:rPr>
          <w:rFonts w:ascii="Arial" w:hAnsi="Arial" w:cs="Arial"/>
          <w:i/>
          <w:iCs/>
        </w:rPr>
        <w:t>.</w:t>
      </w:r>
      <w:bookmarkEnd w:id="79"/>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8"/>
        <w:gridCol w:w="29"/>
        <w:gridCol w:w="98"/>
        <w:gridCol w:w="4665"/>
        <w:gridCol w:w="10"/>
      </w:tblGrid>
      <w:tr w:rsidR="00C41CD1" w14:paraId="603BE66A" w14:textId="77777777" w:rsidTr="000F3F4B">
        <w:tc>
          <w:tcPr>
            <w:tcW w:w="4268" w:type="dxa"/>
          </w:tcPr>
          <w:p w14:paraId="56827321" w14:textId="0C220B8D" w:rsidR="00C41CD1" w:rsidRPr="00785460" w:rsidRDefault="00C41CD1" w:rsidP="00F15187">
            <w:pPr>
              <w:pStyle w:val="Legenda"/>
            </w:pPr>
            <w:bookmarkStart w:id="82" w:name="_Toc173834349"/>
            <w:r w:rsidRPr="00785460">
              <w:lastRenderedPageBreak/>
              <w:t xml:space="preserve">Mapa </w:t>
            </w:r>
            <w:r>
              <w:fldChar w:fldCharType="begin"/>
            </w:r>
            <w:r>
              <w:instrText>SEQ Mapa \* ARABIC</w:instrText>
            </w:r>
            <w:r>
              <w:fldChar w:fldCharType="separate"/>
            </w:r>
            <w:r w:rsidR="009962A2">
              <w:rPr>
                <w:noProof/>
              </w:rPr>
              <w:t>8</w:t>
            </w:r>
            <w:r>
              <w:fldChar w:fldCharType="end"/>
            </w:r>
            <w:r w:rsidRPr="00785460">
              <w:rPr>
                <w:rFonts w:eastAsia="Times New Roman"/>
                <w:color w:val="auto"/>
              </w:rPr>
              <w:t>.</w:t>
            </w:r>
            <w:r w:rsidR="002005E5" w:rsidRPr="00785460">
              <w:t xml:space="preserve"> </w:t>
            </w:r>
            <w:r w:rsidRPr="00785460">
              <w:t xml:space="preserve">Średni wpływ funduszy UE na </w:t>
            </w:r>
            <w:r w:rsidR="00E77A59">
              <w:t>stopę</w:t>
            </w:r>
            <w:r w:rsidRPr="00785460">
              <w:t xml:space="preserve"> </w:t>
            </w:r>
            <w:r w:rsidR="00E77A59">
              <w:t>bezrobocia</w:t>
            </w:r>
            <w:r w:rsidRPr="00785460">
              <w:t xml:space="preserve"> w regionach (w </w:t>
            </w:r>
            <w:r w:rsidR="00E77A59">
              <w:t xml:space="preserve">pkt. </w:t>
            </w:r>
            <w:r w:rsidRPr="00785460">
              <w:t>proc.) w latach 2004-2033</w:t>
            </w:r>
            <w:bookmarkEnd w:id="82"/>
            <w:r w:rsidRPr="00785460">
              <w:t xml:space="preserve"> </w:t>
            </w:r>
          </w:p>
        </w:tc>
        <w:tc>
          <w:tcPr>
            <w:tcW w:w="4802" w:type="dxa"/>
            <w:gridSpan w:val="4"/>
          </w:tcPr>
          <w:p w14:paraId="703945E9" w14:textId="462E773F" w:rsidR="00C41CD1" w:rsidRPr="00785460" w:rsidRDefault="00C41CD1" w:rsidP="00F15187">
            <w:pPr>
              <w:pStyle w:val="Legenda"/>
            </w:pPr>
            <w:bookmarkStart w:id="83" w:name="_Toc173834331"/>
            <w:r w:rsidRPr="00785460">
              <w:t xml:space="preserve">Wykres </w:t>
            </w:r>
            <w:r>
              <w:fldChar w:fldCharType="begin"/>
            </w:r>
            <w:r>
              <w:instrText>SEQ Wykres \* ARABIC</w:instrText>
            </w:r>
            <w:r>
              <w:fldChar w:fldCharType="separate"/>
            </w:r>
            <w:r w:rsidR="009962A2">
              <w:rPr>
                <w:noProof/>
              </w:rPr>
              <w:t>23</w:t>
            </w:r>
            <w:r>
              <w:fldChar w:fldCharType="end"/>
            </w:r>
            <w:r w:rsidRPr="00785460">
              <w:rPr>
                <w:noProof/>
              </w:rPr>
              <w:t>.</w:t>
            </w:r>
            <w:r w:rsidRPr="00785460">
              <w:t xml:space="preserve"> Średni wpływ funduszy UE na </w:t>
            </w:r>
            <w:r w:rsidR="00E77A59">
              <w:t xml:space="preserve">stopę bezrobocia </w:t>
            </w:r>
            <w:r w:rsidRPr="00785460">
              <w:t xml:space="preserve">w regionach (w </w:t>
            </w:r>
            <w:r w:rsidR="00E77A59">
              <w:t xml:space="preserve">pkt. </w:t>
            </w:r>
            <w:r w:rsidRPr="00785460">
              <w:t>proc.) w latach 2004-202</w:t>
            </w:r>
            <w:r w:rsidR="00E77A59">
              <w:t>3</w:t>
            </w:r>
            <w:r w:rsidRPr="00785460">
              <w:t xml:space="preserve"> i 202</w:t>
            </w:r>
            <w:r w:rsidR="00E77A59">
              <w:t>4</w:t>
            </w:r>
            <w:r w:rsidRPr="00785460">
              <w:t>-2033</w:t>
            </w:r>
            <w:bookmarkEnd w:id="83"/>
          </w:p>
        </w:tc>
      </w:tr>
      <w:tr w:rsidR="004A1C80" w14:paraId="12FA7EBE" w14:textId="77777777" w:rsidTr="000F3F4B">
        <w:tc>
          <w:tcPr>
            <w:tcW w:w="4297" w:type="dxa"/>
            <w:gridSpan w:val="2"/>
          </w:tcPr>
          <w:p w14:paraId="75036A90" w14:textId="3EF14994" w:rsidR="004A1C80" w:rsidRDefault="00767B33" w:rsidP="00F15187">
            <w:pPr>
              <w:spacing w:after="0"/>
              <w:jc w:val="left"/>
              <w:rPr>
                <w:rFonts w:asciiTheme="minorHAnsi" w:hAnsiTheme="minorHAnsi" w:cstheme="minorHAnsi"/>
              </w:rPr>
            </w:pPr>
            <w:r w:rsidRPr="00767B33">
              <w:rPr>
                <w:rFonts w:asciiTheme="minorHAnsi" w:hAnsiTheme="minorHAnsi" w:cstheme="minorHAnsi"/>
                <w:noProof/>
              </w:rPr>
              <w:drawing>
                <wp:inline distT="0" distB="0" distL="0" distR="0" wp14:anchorId="414A317B" wp14:editId="7A46313C">
                  <wp:extent cx="2491324" cy="2600132"/>
                  <wp:effectExtent l="0" t="0" r="4445" b="0"/>
                  <wp:docPr id="339610512" name="Obraz 23" descr="Mapa 7. Średni wpływ funduszy UE na stopę bezrobocia w regionach (w pkt. proc.) w latach 2004-2033  Wykres 22. Średni wpływ funduszy UE na stopę bezrobocia w regionach (w pkt. proc.) w latach 2004-2023 i 2024-2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610512" name="Obraz 23" descr="Mapa 7. Średni wpływ funduszy UE na stopę bezrobocia w regionach (w pkt. proc.) w latach 2004-2033  Wykres 22. Średni wpływ funduszy UE na stopę bezrobocia w regionach (w pkt. proc.) w latach 2004-2023 i 2024-2033"/>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495155" cy="2604131"/>
                          </a:xfrm>
                          <a:prstGeom prst="rect">
                            <a:avLst/>
                          </a:prstGeom>
                          <a:noFill/>
                          <a:ln>
                            <a:noFill/>
                          </a:ln>
                        </pic:spPr>
                      </pic:pic>
                    </a:graphicData>
                  </a:graphic>
                </wp:inline>
              </w:drawing>
            </w:r>
          </w:p>
        </w:tc>
        <w:tc>
          <w:tcPr>
            <w:tcW w:w="4773" w:type="dxa"/>
            <w:gridSpan w:val="3"/>
          </w:tcPr>
          <w:p w14:paraId="1F1C1265" w14:textId="016671C2" w:rsidR="004A1C80" w:rsidRDefault="00E77A59" w:rsidP="00F15187">
            <w:pPr>
              <w:spacing w:after="0"/>
              <w:jc w:val="left"/>
              <w:rPr>
                <w:rFonts w:asciiTheme="minorHAnsi" w:hAnsiTheme="minorHAnsi" w:cstheme="minorHAnsi"/>
              </w:rPr>
            </w:pPr>
            <w:r w:rsidRPr="00E77A59">
              <w:rPr>
                <w:rFonts w:asciiTheme="minorHAnsi" w:hAnsiTheme="minorHAnsi" w:cstheme="minorHAnsi"/>
                <w:noProof/>
              </w:rPr>
              <w:drawing>
                <wp:inline distT="0" distB="0" distL="0" distR="0" wp14:anchorId="1FCF66FE" wp14:editId="1AA2B551">
                  <wp:extent cx="2894240" cy="2774950"/>
                  <wp:effectExtent l="0" t="0" r="0" b="0"/>
                  <wp:docPr id="2032020225" name="Obraz 40" descr="Mapa 7. Średni wpływ funduszy UE na stopę bezrobocia w regionach (w pkt. proc.) w latach 2004-2033  Wykres 22. Średni wpływ funduszy UE na stopę bezrobocia w regionach (w pkt. proc.) w latach 2004-2023 i 2024-2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2020225" name="Obraz 40" descr="Mapa 7. Średni wpływ funduszy UE na stopę bezrobocia w regionach (w pkt. proc.) w latach 2004-2033  Wykres 22. Średni wpływ funduszy UE na stopę bezrobocia w regionach (w pkt. proc.) w latach 2004-2023 i 2024-2033"/>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903098" cy="2783443"/>
                          </a:xfrm>
                          <a:prstGeom prst="rect">
                            <a:avLst/>
                          </a:prstGeom>
                          <a:noFill/>
                          <a:ln>
                            <a:noFill/>
                          </a:ln>
                        </pic:spPr>
                      </pic:pic>
                    </a:graphicData>
                  </a:graphic>
                </wp:inline>
              </w:drawing>
            </w:r>
          </w:p>
        </w:tc>
      </w:tr>
      <w:tr w:rsidR="000F3F4B" w:rsidRPr="00785460" w14:paraId="09118937" w14:textId="77777777" w:rsidTr="00A60B4B">
        <w:trPr>
          <w:gridAfter w:val="1"/>
          <w:wAfter w:w="10" w:type="dxa"/>
        </w:trPr>
        <w:tc>
          <w:tcPr>
            <w:tcW w:w="4395" w:type="dxa"/>
            <w:gridSpan w:val="3"/>
          </w:tcPr>
          <w:p w14:paraId="7976216E" w14:textId="77777777" w:rsidR="000F3F4B" w:rsidRPr="00785460" w:rsidRDefault="000F3F4B" w:rsidP="00F15187">
            <w:pPr>
              <w:spacing w:after="240" w:line="276" w:lineRule="auto"/>
              <w:jc w:val="left"/>
              <w:rPr>
                <w:rFonts w:ascii="Arial" w:hAnsi="Arial" w:cs="Arial"/>
                <w:i/>
                <w:iCs/>
              </w:rPr>
            </w:pPr>
            <w:r w:rsidRPr="00785460">
              <w:rPr>
                <w:rFonts w:ascii="Arial" w:hAnsi="Arial" w:cs="Arial"/>
                <w:i/>
                <w:iCs/>
              </w:rPr>
              <w:t>Źródło: opracowanie własne na podstawie symulacji modelu VESPA.</w:t>
            </w:r>
          </w:p>
        </w:tc>
        <w:tc>
          <w:tcPr>
            <w:tcW w:w="4665" w:type="dxa"/>
          </w:tcPr>
          <w:p w14:paraId="43ED7E42" w14:textId="77777777" w:rsidR="000F3F4B" w:rsidRPr="00785460" w:rsidRDefault="000F3F4B" w:rsidP="00F15187">
            <w:pPr>
              <w:spacing w:after="240" w:line="276" w:lineRule="auto"/>
              <w:jc w:val="left"/>
              <w:rPr>
                <w:rFonts w:ascii="Arial" w:hAnsi="Arial" w:cs="Arial"/>
                <w:i/>
                <w:iCs/>
              </w:rPr>
            </w:pPr>
            <w:r w:rsidRPr="00785460">
              <w:rPr>
                <w:rFonts w:ascii="Arial" w:hAnsi="Arial" w:cs="Arial"/>
                <w:i/>
                <w:iCs/>
              </w:rPr>
              <w:t>Źródło: opracowanie własne na podstawie symulacji modelu VESPA.</w:t>
            </w:r>
          </w:p>
        </w:tc>
      </w:tr>
    </w:tbl>
    <w:p w14:paraId="046B54A2" w14:textId="4EA17C79" w:rsidR="00053FF4" w:rsidRPr="00917386" w:rsidRDefault="00261BEF" w:rsidP="00917386">
      <w:pPr>
        <w:pStyle w:val="Styl1"/>
        <w:jc w:val="left"/>
        <w:rPr>
          <w:color w:val="3C3C3C"/>
        </w:rPr>
      </w:pPr>
      <w:bookmarkStart w:id="84" w:name="_Toc176241628"/>
      <w:r w:rsidRPr="00917386">
        <w:rPr>
          <w:color w:val="3C3C3C"/>
        </w:rPr>
        <w:t>Wpływ na p</w:t>
      </w:r>
      <w:r w:rsidR="00DE51D0" w:rsidRPr="00917386">
        <w:rPr>
          <w:color w:val="3C3C3C"/>
        </w:rPr>
        <w:t xml:space="preserve">roduktywność </w:t>
      </w:r>
      <w:r w:rsidR="00EC5C51" w:rsidRPr="00917386">
        <w:rPr>
          <w:color w:val="3C3C3C"/>
        </w:rPr>
        <w:t>pracy</w:t>
      </w:r>
      <w:r w:rsidR="00A323D5" w:rsidRPr="00917386">
        <w:rPr>
          <w:color w:val="3C3C3C"/>
        </w:rPr>
        <w:t xml:space="preserve"> i dochody</w:t>
      </w:r>
      <w:bookmarkEnd w:id="84"/>
    </w:p>
    <w:p w14:paraId="336F8D6A" w14:textId="5BCC2259" w:rsidR="002A4F5A" w:rsidRPr="005C3719" w:rsidRDefault="00670BBF" w:rsidP="00917386">
      <w:pPr>
        <w:spacing w:after="120" w:line="276" w:lineRule="auto"/>
        <w:jc w:val="left"/>
        <w:rPr>
          <w:rFonts w:ascii="Arial" w:hAnsi="Arial" w:cs="Arial"/>
        </w:rPr>
      </w:pPr>
      <w:bookmarkStart w:id="85" w:name="_Hlk136006573"/>
      <w:r w:rsidRPr="00670BBF">
        <w:rPr>
          <w:rFonts w:ascii="Arial" w:hAnsi="Arial" w:cs="Arial"/>
        </w:rPr>
        <w:t>Wielkością ściśle powiązaną ze zmianami w całej gospodarce (wzrost PKB) i na rynku pracy (zatrudnienie) jest produktywność pracy mierzona PKB na pracownika. Model VESPA szacuje, że</w:t>
      </w:r>
      <w:r w:rsidR="00EF4149">
        <w:rPr>
          <w:rFonts w:ascii="Arial" w:hAnsi="Arial" w:cs="Arial"/>
        </w:rPr>
        <w:t> </w:t>
      </w:r>
      <w:r w:rsidRPr="00670BBF">
        <w:rPr>
          <w:rFonts w:ascii="Arial" w:hAnsi="Arial" w:cs="Arial"/>
        </w:rPr>
        <w:t>w</w:t>
      </w:r>
      <w:r w:rsidR="00EF4149">
        <w:rPr>
          <w:rFonts w:ascii="Arial" w:hAnsi="Arial" w:cs="Arial"/>
        </w:rPr>
        <w:t> </w:t>
      </w:r>
      <w:r w:rsidRPr="00670BBF">
        <w:rPr>
          <w:rFonts w:ascii="Arial" w:hAnsi="Arial" w:cs="Arial"/>
        </w:rPr>
        <w:t>latach 2011-2023 fundusze UE umożliwiły zwiększenie produktywności pracy w Polsce o około 1,1-1,7 punktu procentowego w porównaniu do średniej UE-27. Jest to około 3 punkty procentowe mniej niż odnotowany w tym samym czasie dodatkowy spadek luki w PKB per capita. Różnica ta wynika ze</w:t>
      </w:r>
      <w:r w:rsidR="00EF4149">
        <w:rPr>
          <w:rFonts w:ascii="Arial" w:hAnsi="Arial" w:cs="Arial"/>
        </w:rPr>
        <w:t> </w:t>
      </w:r>
      <w:r w:rsidRPr="00670BBF">
        <w:rPr>
          <w:rFonts w:ascii="Arial" w:hAnsi="Arial" w:cs="Arial"/>
        </w:rPr>
        <w:t>stymulowanego przez fundusze wzrostu zatrudnienia. Oddziaływanie środków UE na produktywność (a więc i płace) było tym samym mniejsze niż ich oddziaływanie na PKB czy liczbę pracujących.</w:t>
      </w:r>
      <w:r>
        <w:rPr>
          <w:rFonts w:ascii="Arial" w:hAnsi="Arial" w:cs="Arial"/>
        </w:rPr>
        <w:t xml:space="preserve"> </w:t>
      </w:r>
      <w:r w:rsidRPr="00670BBF">
        <w:rPr>
          <w:rFonts w:ascii="Arial" w:hAnsi="Arial" w:cs="Arial"/>
        </w:rPr>
        <w:t>Jednakże dochody do dyspozycji gospodarstw domowych rosły bardzo silnie, nawet o 4-5 punktów procentowych. Stało się tak głównie dzięki znacznemu zwiększeniu liczby osób pracujących w</w:t>
      </w:r>
      <w:r w:rsidR="00EF4149">
        <w:rPr>
          <w:rFonts w:ascii="Arial" w:hAnsi="Arial" w:cs="Arial"/>
        </w:rPr>
        <w:t> </w:t>
      </w:r>
      <w:r w:rsidRPr="00670BBF">
        <w:rPr>
          <w:rFonts w:ascii="Arial" w:hAnsi="Arial" w:cs="Arial"/>
        </w:rPr>
        <w:t>gospodarce i spadkowi liczby osób bezrobotnych. Symulacje modelem VESPA sugerują również, że</w:t>
      </w:r>
      <w:r w:rsidR="00EF4149">
        <w:rPr>
          <w:rFonts w:ascii="Arial" w:hAnsi="Arial" w:cs="Arial"/>
        </w:rPr>
        <w:t> </w:t>
      </w:r>
      <w:r w:rsidRPr="00670BBF">
        <w:rPr>
          <w:rFonts w:ascii="Arial" w:hAnsi="Arial" w:cs="Arial"/>
        </w:rPr>
        <w:t>wpływ funduszy UE na produktywność był relatywnie mało zróżnicowany regionalnie, chociaż województwa relatywnie gorzej rozwinięte skorzystały z tych wydatków także pod względem produktywności nieco bardziej niż regiony najbogatsze. Efekt ten był jednak mniejszy niż w przypadku zatrudnienia, więc o silniejszym wzroście dochodów w regionach Polski Wschodniej decydował głównie wzrost zatrudnienia i spadek bezrobocia, a nie bezpośredni wzrost płac.</w:t>
      </w:r>
    </w:p>
    <w:p w14:paraId="44DF3176" w14:textId="6D9CE720" w:rsidR="00001004" w:rsidRPr="00785460" w:rsidRDefault="00C41CD1" w:rsidP="00F15187">
      <w:pPr>
        <w:pStyle w:val="Legenda"/>
      </w:pPr>
      <w:bookmarkStart w:id="86" w:name="_Toc173834332"/>
      <w:bookmarkEnd w:id="85"/>
      <w:r w:rsidRPr="00785460">
        <w:lastRenderedPageBreak/>
        <w:t xml:space="preserve">Wykres </w:t>
      </w:r>
      <w:fldSimple w:instr=" SEQ Wykres \* ARABIC ">
        <w:r w:rsidR="009962A2">
          <w:rPr>
            <w:noProof/>
          </w:rPr>
          <w:t>24</w:t>
        </w:r>
      </w:fldSimple>
      <w:r w:rsidRPr="00785460">
        <w:rPr>
          <w:noProof/>
        </w:rPr>
        <w:t>.</w:t>
      </w:r>
      <w:r w:rsidRPr="00785460">
        <w:t xml:space="preserve"> Wpływ funduszy UE na produktywność pracy</w:t>
      </w:r>
      <w:bookmarkEnd w:id="86"/>
    </w:p>
    <w:p w14:paraId="0F238AE0" w14:textId="38AC3E52" w:rsidR="00C41CD1" w:rsidRDefault="00767B33" w:rsidP="00917386">
      <w:pPr>
        <w:spacing w:after="0"/>
        <w:jc w:val="left"/>
        <w:rPr>
          <w:sz w:val="22"/>
          <w:szCs w:val="22"/>
        </w:rPr>
      </w:pPr>
      <w:r w:rsidRPr="00767B33">
        <w:rPr>
          <w:noProof/>
        </w:rPr>
        <w:drawing>
          <wp:inline distT="0" distB="0" distL="0" distR="0" wp14:anchorId="37667A96" wp14:editId="21FF0471">
            <wp:extent cx="5759450" cy="3417570"/>
            <wp:effectExtent l="0" t="0" r="0" b="0"/>
            <wp:docPr id="361653069" name="Obraz 24" descr="Wykres 23. Wpływ funduszy UE na produktywność pr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653069" name="Obraz 24" descr="Wykres 23. Wpływ funduszy UE na produktywność pracy"/>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759450" cy="3417570"/>
                    </a:xfrm>
                    <a:prstGeom prst="rect">
                      <a:avLst/>
                    </a:prstGeom>
                    <a:noFill/>
                    <a:ln>
                      <a:noFill/>
                    </a:ln>
                  </pic:spPr>
                </pic:pic>
              </a:graphicData>
            </a:graphic>
          </wp:inline>
        </w:drawing>
      </w:r>
    </w:p>
    <w:p w14:paraId="52B5BFD6" w14:textId="10283588" w:rsidR="0031047C" w:rsidRPr="00785460" w:rsidRDefault="00C41CD1" w:rsidP="00917386">
      <w:pPr>
        <w:spacing w:after="240" w:line="276" w:lineRule="auto"/>
        <w:jc w:val="left"/>
        <w:rPr>
          <w:rFonts w:ascii="Arial" w:hAnsi="Arial" w:cs="Arial"/>
        </w:rPr>
      </w:pPr>
      <w:r w:rsidRPr="00785460">
        <w:rPr>
          <w:rFonts w:ascii="Arial" w:hAnsi="Arial" w:cs="Arial"/>
          <w:i/>
          <w:iCs/>
        </w:rPr>
        <w:t>Źródło: opracowanie własne na podstawie symulacji modelu VESPA</w:t>
      </w:r>
      <w:r w:rsidR="004033AC" w:rsidRPr="00785460">
        <w:rPr>
          <w:rFonts w:ascii="Arial" w:hAnsi="Arial" w:cs="Arial"/>
          <w:i/>
          <w:iCs/>
        </w:rPr>
        <w:t>.</w:t>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5"/>
        <w:gridCol w:w="53"/>
        <w:gridCol w:w="82"/>
        <w:gridCol w:w="4530"/>
      </w:tblGrid>
      <w:tr w:rsidR="00C41CD1" w14:paraId="34DE8863" w14:textId="77777777" w:rsidTr="00C27264">
        <w:tc>
          <w:tcPr>
            <w:tcW w:w="4530" w:type="dxa"/>
            <w:gridSpan w:val="3"/>
          </w:tcPr>
          <w:p w14:paraId="15258E51" w14:textId="7FDCF4B3" w:rsidR="00C41CD1" w:rsidRPr="00785460" w:rsidRDefault="00C41CD1" w:rsidP="00F15187">
            <w:pPr>
              <w:pStyle w:val="Legenda"/>
            </w:pPr>
            <w:bookmarkStart w:id="87" w:name="_Toc173834350"/>
            <w:r w:rsidRPr="00785460">
              <w:t xml:space="preserve">Mapa </w:t>
            </w:r>
            <w:r>
              <w:fldChar w:fldCharType="begin"/>
            </w:r>
            <w:r>
              <w:instrText>SEQ Mapa \* ARABIC</w:instrText>
            </w:r>
            <w:r>
              <w:fldChar w:fldCharType="separate"/>
            </w:r>
            <w:r w:rsidR="009962A2">
              <w:rPr>
                <w:noProof/>
              </w:rPr>
              <w:t>9</w:t>
            </w:r>
            <w:r>
              <w:fldChar w:fldCharType="end"/>
            </w:r>
            <w:r w:rsidRPr="00785460">
              <w:rPr>
                <w:rFonts w:eastAsia="Times New Roman"/>
                <w:color w:val="auto"/>
              </w:rPr>
              <w:t>.</w:t>
            </w:r>
            <w:r w:rsidR="002005E5" w:rsidRPr="00785460">
              <w:t xml:space="preserve"> </w:t>
            </w:r>
            <w:r w:rsidRPr="00785460">
              <w:t>Średni wpływ funduszy UE na produktywność w regionach (w proc.) w latach 2004-2033</w:t>
            </w:r>
            <w:bookmarkEnd w:id="87"/>
            <w:r w:rsidRPr="00785460">
              <w:t xml:space="preserve"> </w:t>
            </w:r>
          </w:p>
        </w:tc>
        <w:tc>
          <w:tcPr>
            <w:tcW w:w="4530" w:type="dxa"/>
          </w:tcPr>
          <w:p w14:paraId="729ABA00" w14:textId="7321AEDA" w:rsidR="00C41CD1" w:rsidRPr="00785460" w:rsidRDefault="00C41CD1" w:rsidP="00F15187">
            <w:pPr>
              <w:pStyle w:val="Legenda"/>
            </w:pPr>
            <w:bookmarkStart w:id="88" w:name="_Toc173834333"/>
            <w:r w:rsidRPr="00785460">
              <w:t xml:space="preserve">Wykres </w:t>
            </w:r>
            <w:r>
              <w:fldChar w:fldCharType="begin"/>
            </w:r>
            <w:r>
              <w:instrText>SEQ Wykres \* ARABIC</w:instrText>
            </w:r>
            <w:r>
              <w:fldChar w:fldCharType="separate"/>
            </w:r>
            <w:r w:rsidR="009962A2">
              <w:rPr>
                <w:noProof/>
              </w:rPr>
              <w:t>25</w:t>
            </w:r>
            <w:r>
              <w:fldChar w:fldCharType="end"/>
            </w:r>
            <w:r w:rsidRPr="00785460">
              <w:rPr>
                <w:noProof/>
              </w:rPr>
              <w:t>.</w:t>
            </w:r>
            <w:r w:rsidRPr="00785460">
              <w:t xml:space="preserve"> Średni wpływ funduszy UE na produktywność w regionach (w proc.) w latach 2004-202</w:t>
            </w:r>
            <w:r w:rsidR="00005955">
              <w:t>3</w:t>
            </w:r>
            <w:r w:rsidRPr="00785460">
              <w:t xml:space="preserve"> i 202</w:t>
            </w:r>
            <w:r w:rsidR="00005955">
              <w:t>4</w:t>
            </w:r>
            <w:r w:rsidRPr="00785460">
              <w:t>-2033</w:t>
            </w:r>
            <w:bookmarkEnd w:id="88"/>
          </w:p>
        </w:tc>
      </w:tr>
      <w:tr w:rsidR="0031047C" w14:paraId="018DAC0F" w14:textId="77777777" w:rsidTr="00C27264">
        <w:tc>
          <w:tcPr>
            <w:tcW w:w="4448" w:type="dxa"/>
            <w:gridSpan w:val="2"/>
          </w:tcPr>
          <w:p w14:paraId="58231781" w14:textId="51209350" w:rsidR="0031047C" w:rsidRPr="00785460" w:rsidRDefault="00767B33" w:rsidP="00F15187">
            <w:pPr>
              <w:spacing w:after="0"/>
              <w:jc w:val="left"/>
              <w:rPr>
                <w:rFonts w:ascii="Arial" w:hAnsi="Arial" w:cs="Arial"/>
              </w:rPr>
            </w:pPr>
            <w:r w:rsidRPr="00767B33">
              <w:rPr>
                <w:rFonts w:ascii="Arial" w:hAnsi="Arial" w:cs="Arial"/>
                <w:noProof/>
              </w:rPr>
              <w:drawing>
                <wp:inline distT="0" distB="0" distL="0" distR="0" wp14:anchorId="2B610E7E" wp14:editId="64506C79">
                  <wp:extent cx="2671638" cy="2602361"/>
                  <wp:effectExtent l="0" t="0" r="0" b="0"/>
                  <wp:docPr id="1627719466" name="Obraz 25" descr="Mapa 8. Średni wpływ funduszy UE na produktywność w regionach (w proc.) w latach 2004-2033  Wykres 24. Średni wpływ funduszy UE na produktywność w regionach (w proc.) w latach 2004-2023 i 2024-2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7719466" name="Obraz 25" descr="Mapa 8. Średni wpływ funduszy UE na produktywność w regionach (w proc.) w latach 2004-2033  Wykres 24. Średni wpływ funduszy UE na produktywność w regionach (w proc.) w latach 2004-2023 i 2024-2033"/>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679485" cy="2610004"/>
                          </a:xfrm>
                          <a:prstGeom prst="rect">
                            <a:avLst/>
                          </a:prstGeom>
                          <a:noFill/>
                          <a:ln>
                            <a:noFill/>
                          </a:ln>
                        </pic:spPr>
                      </pic:pic>
                    </a:graphicData>
                  </a:graphic>
                </wp:inline>
              </w:drawing>
            </w:r>
          </w:p>
        </w:tc>
        <w:tc>
          <w:tcPr>
            <w:tcW w:w="4612" w:type="dxa"/>
            <w:gridSpan w:val="2"/>
          </w:tcPr>
          <w:p w14:paraId="55498C06" w14:textId="05C0E547" w:rsidR="0031047C" w:rsidRDefault="00767B33" w:rsidP="00F15187">
            <w:pPr>
              <w:spacing w:after="0"/>
              <w:jc w:val="left"/>
              <w:rPr>
                <w:rFonts w:asciiTheme="minorHAnsi" w:hAnsiTheme="minorHAnsi" w:cstheme="minorHAnsi"/>
              </w:rPr>
            </w:pPr>
            <w:r w:rsidRPr="00767B33">
              <w:rPr>
                <w:rFonts w:asciiTheme="minorHAnsi" w:hAnsiTheme="minorHAnsi" w:cstheme="minorHAnsi"/>
                <w:noProof/>
              </w:rPr>
              <w:drawing>
                <wp:inline distT="0" distB="0" distL="0" distR="0" wp14:anchorId="108280ED" wp14:editId="228A268F">
                  <wp:extent cx="2583871" cy="2477373"/>
                  <wp:effectExtent l="0" t="0" r="0" b="0"/>
                  <wp:docPr id="1200647251" name="Obraz 26" descr="Mapa 8. Średni wpływ funduszy UE na produktywność w regionach (w proc.) w latach 2004-2033  Wykres 24. Średni wpływ funduszy UE na produktywność w regionach (w proc.) w latach 2004-2023 i 2024-2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0647251" name="Obraz 26" descr="Mapa 8. Średni wpływ funduszy UE na produktywność w regionach (w proc.) w latach 2004-2033  Wykres 24. Średni wpływ funduszy UE na produktywność w regionach (w proc.) w latach 2004-2023 i 2024-2033"/>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589243" cy="2482523"/>
                          </a:xfrm>
                          <a:prstGeom prst="rect">
                            <a:avLst/>
                          </a:prstGeom>
                          <a:noFill/>
                          <a:ln>
                            <a:noFill/>
                          </a:ln>
                        </pic:spPr>
                      </pic:pic>
                    </a:graphicData>
                  </a:graphic>
                </wp:inline>
              </w:drawing>
            </w:r>
          </w:p>
        </w:tc>
      </w:tr>
      <w:tr w:rsidR="000F3F4B" w:rsidRPr="00785460" w14:paraId="49CB4267" w14:textId="77777777" w:rsidTr="00917386">
        <w:tc>
          <w:tcPr>
            <w:tcW w:w="4395" w:type="dxa"/>
          </w:tcPr>
          <w:p w14:paraId="5CB1E705" w14:textId="77777777" w:rsidR="000F3F4B" w:rsidRPr="00785460" w:rsidRDefault="000F3F4B" w:rsidP="00F15187">
            <w:pPr>
              <w:spacing w:after="240" w:line="276" w:lineRule="auto"/>
              <w:jc w:val="left"/>
              <w:rPr>
                <w:rFonts w:ascii="Arial" w:hAnsi="Arial" w:cs="Arial"/>
                <w:i/>
                <w:iCs/>
              </w:rPr>
            </w:pPr>
            <w:r w:rsidRPr="00785460">
              <w:rPr>
                <w:rFonts w:ascii="Arial" w:hAnsi="Arial" w:cs="Arial"/>
                <w:i/>
                <w:iCs/>
              </w:rPr>
              <w:t>Źródło: opracowanie własne na podstawie symulacji modelu VESPA.</w:t>
            </w:r>
          </w:p>
        </w:tc>
        <w:tc>
          <w:tcPr>
            <w:tcW w:w="4665" w:type="dxa"/>
            <w:gridSpan w:val="3"/>
          </w:tcPr>
          <w:p w14:paraId="330E61D0" w14:textId="65C5DB84" w:rsidR="000F3F4B" w:rsidRPr="00785460" w:rsidRDefault="000F3F4B" w:rsidP="00F15187">
            <w:pPr>
              <w:spacing w:after="240" w:line="276" w:lineRule="auto"/>
              <w:jc w:val="left"/>
              <w:rPr>
                <w:rFonts w:ascii="Arial" w:hAnsi="Arial" w:cs="Arial"/>
                <w:i/>
                <w:iCs/>
              </w:rPr>
            </w:pPr>
            <w:r w:rsidRPr="00785460">
              <w:rPr>
                <w:rFonts w:ascii="Arial" w:hAnsi="Arial" w:cs="Arial"/>
                <w:i/>
                <w:iCs/>
              </w:rPr>
              <w:t>Źródło: opracowanie własne na podstawie symulacji modelu VESPA.</w:t>
            </w:r>
          </w:p>
        </w:tc>
      </w:tr>
    </w:tbl>
    <w:p w14:paraId="1102AF6F" w14:textId="2D63BD74" w:rsidR="00A323D5" w:rsidRPr="00785460" w:rsidRDefault="00C41CD1" w:rsidP="00F15187">
      <w:pPr>
        <w:pStyle w:val="Legenda"/>
      </w:pPr>
      <w:bookmarkStart w:id="89" w:name="_Toc173834334"/>
      <w:r w:rsidRPr="00785460">
        <w:lastRenderedPageBreak/>
        <w:t xml:space="preserve">Wykres </w:t>
      </w:r>
      <w:fldSimple w:instr=" SEQ Wykres \* ARABIC ">
        <w:r w:rsidR="009962A2">
          <w:rPr>
            <w:noProof/>
          </w:rPr>
          <w:t>26</w:t>
        </w:r>
      </w:fldSimple>
      <w:r w:rsidRPr="00785460">
        <w:rPr>
          <w:noProof/>
        </w:rPr>
        <w:t>.</w:t>
      </w:r>
      <w:r w:rsidRPr="00785460">
        <w:t xml:space="preserve"> Wpływ funduszy UE na dochód do dyspozycji (w proc. UE-27, PPS)</w:t>
      </w:r>
      <w:bookmarkEnd w:id="89"/>
    </w:p>
    <w:p w14:paraId="1BD98B66" w14:textId="25AED3EA" w:rsidR="00C41CD1" w:rsidRDefault="0094482E" w:rsidP="00917386">
      <w:pPr>
        <w:spacing w:after="0"/>
        <w:jc w:val="left"/>
        <w:rPr>
          <w:sz w:val="22"/>
          <w:szCs w:val="22"/>
        </w:rPr>
      </w:pPr>
      <w:r w:rsidRPr="0094482E">
        <w:rPr>
          <w:noProof/>
        </w:rPr>
        <w:drawing>
          <wp:inline distT="0" distB="0" distL="0" distR="0" wp14:anchorId="5198C561" wp14:editId="29AAC264">
            <wp:extent cx="5759450" cy="3362325"/>
            <wp:effectExtent l="0" t="0" r="0" b="0"/>
            <wp:docPr id="51769551" name="Obraz 27" descr="Wykres 25. Wpływ funduszy UE na dochód do dyspozycji (w proc. UE-27, P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69551" name="Obraz 27" descr="Wykres 25. Wpływ funduszy UE na dochód do dyspozycji (w proc. UE-27, PPS)"/>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759450" cy="3362325"/>
                    </a:xfrm>
                    <a:prstGeom prst="rect">
                      <a:avLst/>
                    </a:prstGeom>
                    <a:noFill/>
                    <a:ln>
                      <a:noFill/>
                    </a:ln>
                  </pic:spPr>
                </pic:pic>
              </a:graphicData>
            </a:graphic>
          </wp:inline>
        </w:drawing>
      </w:r>
    </w:p>
    <w:p w14:paraId="6E7B8A0A" w14:textId="7F8B9904" w:rsidR="00C41CD1" w:rsidRPr="00785460" w:rsidRDefault="00C41CD1" w:rsidP="00917386">
      <w:pPr>
        <w:spacing w:after="240" w:line="276" w:lineRule="auto"/>
        <w:jc w:val="left"/>
        <w:rPr>
          <w:rFonts w:ascii="Arial" w:hAnsi="Arial" w:cs="Arial"/>
          <w:i/>
          <w:iCs/>
          <w:sz w:val="22"/>
          <w:szCs w:val="22"/>
        </w:rPr>
      </w:pPr>
      <w:r w:rsidRPr="00785460">
        <w:rPr>
          <w:rFonts w:ascii="Arial" w:hAnsi="Arial" w:cs="Arial"/>
          <w:i/>
          <w:iCs/>
        </w:rPr>
        <w:t>Źródło: opracowanie własne na podstawie symulacji modelu VESPA</w:t>
      </w:r>
      <w:r w:rsidR="004033AC" w:rsidRPr="00785460">
        <w:rPr>
          <w:rFonts w:ascii="Arial" w:hAnsi="Arial" w:cs="Arial"/>
          <w:i/>
          <w:iCs/>
        </w:rPr>
        <w:t>.</w:t>
      </w:r>
    </w:p>
    <w:p w14:paraId="605651D6" w14:textId="3CCFD5E4" w:rsidR="00B531D7" w:rsidRPr="00917386" w:rsidRDefault="00261BEF" w:rsidP="00917386">
      <w:pPr>
        <w:pStyle w:val="Styl1"/>
        <w:jc w:val="left"/>
        <w:rPr>
          <w:color w:val="3C3C3C"/>
        </w:rPr>
      </w:pPr>
      <w:bookmarkStart w:id="90" w:name="_Toc176241629"/>
      <w:r w:rsidRPr="00917386">
        <w:rPr>
          <w:color w:val="3C3C3C"/>
        </w:rPr>
        <w:t>Wpływ na n</w:t>
      </w:r>
      <w:r w:rsidR="00B531D7" w:rsidRPr="00917386">
        <w:rPr>
          <w:color w:val="3C3C3C"/>
        </w:rPr>
        <w:t>ierówności i ubóstwo</w:t>
      </w:r>
      <w:bookmarkEnd w:id="90"/>
    </w:p>
    <w:p w14:paraId="6A8E6C96" w14:textId="700B8575" w:rsidR="00B531D7" w:rsidRPr="005C3719" w:rsidRDefault="00670BBF" w:rsidP="00917386">
      <w:pPr>
        <w:spacing w:after="120" w:line="276" w:lineRule="auto"/>
        <w:jc w:val="left"/>
        <w:rPr>
          <w:rFonts w:ascii="Arial" w:hAnsi="Arial" w:cs="Arial"/>
        </w:rPr>
      </w:pPr>
      <w:bookmarkStart w:id="91" w:name="_Hlk136006582"/>
      <w:r w:rsidRPr="00670BBF">
        <w:rPr>
          <w:rFonts w:ascii="Arial" w:hAnsi="Arial" w:cs="Arial"/>
        </w:rPr>
        <w:t>Wzrost dochodów do dyspozycji i spadek bezrobocia w latach 2004-2033 przekłada się bezpośrednio na zmniejszenie zagrożenia ubóstwem i wykluczeniem społecznym oraz zagrożenia ubóstwem relatywnym. Zgodnie z symulacjami modelu VESPA fundusze UE przyczyniły się do obniżenia ubóstwa średnio o około 2,1 punktu procentowego. Najbardziej pozytywny wpływ wywarły w okresie spowolnienia gospodarczego lat 2011-2014 (kryzys w strefie euro), kiedy dzięki silnemu ograniczeniu wzrostu bezrobocia ryzyko ubóstwa zmniejszyło się o około 3,5 punktu procentowego (1,5 punktu procentowego w przypadku ubóstwa po transferach społecznych) w porównaniu do scenariusza kontrfaktycznego („bez funduszy”).</w:t>
      </w:r>
      <w:r>
        <w:rPr>
          <w:rFonts w:ascii="Arial" w:hAnsi="Arial" w:cs="Arial"/>
        </w:rPr>
        <w:t xml:space="preserve"> </w:t>
      </w:r>
      <w:r w:rsidRPr="00670BBF">
        <w:rPr>
          <w:rFonts w:ascii="Arial" w:hAnsi="Arial" w:cs="Arial"/>
        </w:rPr>
        <w:t xml:space="preserve">Wielkością powiązaną z ubóstwem relatywnym jest wskaźnik Giniego, który mierzy </w:t>
      </w:r>
      <w:r w:rsidR="005328CF">
        <w:rPr>
          <w:rFonts w:ascii="Arial" w:hAnsi="Arial" w:cs="Arial"/>
        </w:rPr>
        <w:t xml:space="preserve">skalę </w:t>
      </w:r>
      <w:r w:rsidRPr="00670BBF">
        <w:rPr>
          <w:rFonts w:ascii="Arial" w:hAnsi="Arial" w:cs="Arial"/>
        </w:rPr>
        <w:t xml:space="preserve">nierówności </w:t>
      </w:r>
      <w:r w:rsidR="005328CF" w:rsidRPr="00670BBF">
        <w:rPr>
          <w:rFonts w:ascii="Arial" w:hAnsi="Arial" w:cs="Arial"/>
        </w:rPr>
        <w:t>dochodow</w:t>
      </w:r>
      <w:r w:rsidR="005328CF">
        <w:rPr>
          <w:rFonts w:ascii="Arial" w:hAnsi="Arial" w:cs="Arial"/>
        </w:rPr>
        <w:t>ych</w:t>
      </w:r>
      <w:r w:rsidR="005328CF" w:rsidRPr="00670BBF">
        <w:rPr>
          <w:rFonts w:ascii="Arial" w:hAnsi="Arial" w:cs="Arial"/>
        </w:rPr>
        <w:t xml:space="preserve"> </w:t>
      </w:r>
      <w:r w:rsidRPr="00670BBF">
        <w:rPr>
          <w:rFonts w:ascii="Arial" w:hAnsi="Arial" w:cs="Arial"/>
        </w:rPr>
        <w:t>w całej gospodarce</w:t>
      </w:r>
      <w:r w:rsidR="005328CF">
        <w:rPr>
          <w:rFonts w:ascii="Arial" w:hAnsi="Arial" w:cs="Arial"/>
        </w:rPr>
        <w:t xml:space="preserve"> wyrażoną liczbą z przedziału (0,100) gdzie 0 oznacza doskonałą równość, a 100 pełną nierówność dochodów w przekroju całej populacji</w:t>
      </w:r>
      <w:r w:rsidRPr="00670BBF">
        <w:rPr>
          <w:rFonts w:ascii="Arial" w:hAnsi="Arial" w:cs="Arial"/>
        </w:rPr>
        <w:t xml:space="preserve">. Podobnie jak ubóstwo relatywne, wskaźnik Giniego znajduje się w Polsce w sekularnym trendzie spadkowym, niezależnym od wsparcia UE. </w:t>
      </w:r>
      <w:r w:rsidR="005328CF">
        <w:rPr>
          <w:rFonts w:ascii="Arial" w:hAnsi="Arial" w:cs="Arial"/>
        </w:rPr>
        <w:t>W roku 2023 sięgnął on– przeciętnego wśród państw OECD - poziomu ok. 27pkt. Zarazem</w:t>
      </w:r>
      <w:r w:rsidRPr="00670BBF">
        <w:rPr>
          <w:rFonts w:ascii="Arial" w:hAnsi="Arial" w:cs="Arial"/>
        </w:rPr>
        <w:t xml:space="preserve">, </w:t>
      </w:r>
      <w:r w:rsidR="005328CF">
        <w:rPr>
          <w:rFonts w:ascii="Arial" w:hAnsi="Arial" w:cs="Arial"/>
        </w:rPr>
        <w:t xml:space="preserve">szacunki modelu VESPA wskazują, ze </w:t>
      </w:r>
      <w:r w:rsidRPr="00670BBF">
        <w:rPr>
          <w:rFonts w:ascii="Arial" w:hAnsi="Arial" w:cs="Arial"/>
        </w:rPr>
        <w:t>środki polityki spójności i inne podobne instrumenty miały wpływ na poziom nierówności dochodowych, obniżając wskaźnik Giniego średnio o około 1 punkt procentowy w całym analizowanym okresie.</w:t>
      </w:r>
    </w:p>
    <w:p w14:paraId="4EB569D1" w14:textId="2AE85DDF" w:rsidR="0038439C" w:rsidRPr="00785460" w:rsidRDefault="00C41CD1" w:rsidP="00F15187">
      <w:pPr>
        <w:pStyle w:val="Legenda"/>
      </w:pPr>
      <w:bookmarkStart w:id="92" w:name="_Toc173834335"/>
      <w:bookmarkEnd w:id="91"/>
      <w:r w:rsidRPr="00785460">
        <w:lastRenderedPageBreak/>
        <w:t xml:space="preserve">Wykres </w:t>
      </w:r>
      <w:fldSimple w:instr=" SEQ Wykres \* ARABIC ">
        <w:r w:rsidR="009962A2">
          <w:rPr>
            <w:noProof/>
          </w:rPr>
          <w:t>27</w:t>
        </w:r>
      </w:fldSimple>
      <w:r w:rsidRPr="00785460">
        <w:rPr>
          <w:noProof/>
        </w:rPr>
        <w:t>.</w:t>
      </w:r>
      <w:r w:rsidRPr="00785460">
        <w:t xml:space="preserve"> Wpływ funduszy UE na zagrożenie ubóstwem i wykluczeniem społecznym (przed</w:t>
      </w:r>
      <w:r>
        <w:t xml:space="preserve"> </w:t>
      </w:r>
      <w:r w:rsidRPr="00785460">
        <w:t>transferami)</w:t>
      </w:r>
      <w:bookmarkEnd w:id="92"/>
    </w:p>
    <w:p w14:paraId="0E5D0821" w14:textId="7318E51A" w:rsidR="00C41CD1" w:rsidRDefault="0094482E" w:rsidP="00917386">
      <w:pPr>
        <w:spacing w:after="0"/>
        <w:jc w:val="left"/>
      </w:pPr>
      <w:r w:rsidRPr="0094482E">
        <w:rPr>
          <w:noProof/>
        </w:rPr>
        <w:drawing>
          <wp:inline distT="0" distB="0" distL="0" distR="0" wp14:anchorId="3874BFC1" wp14:editId="19ADAE67">
            <wp:extent cx="5266545" cy="2861470"/>
            <wp:effectExtent l="0" t="0" r="0" b="0"/>
            <wp:docPr id="2012404715" name="Obraz 29" descr="Wykres 26. Wpływ funduszy UE na zagrożenie ubóstwem i wykluczeniem społecznym (przed transfera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2404715" name="Obraz 29" descr="Wykres 26. Wpływ funduszy UE na zagrożenie ubóstwem i wykluczeniem społecznym (przed transferami)"/>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273535" cy="2865268"/>
                    </a:xfrm>
                    <a:prstGeom prst="rect">
                      <a:avLst/>
                    </a:prstGeom>
                    <a:noFill/>
                    <a:ln>
                      <a:noFill/>
                    </a:ln>
                  </pic:spPr>
                </pic:pic>
              </a:graphicData>
            </a:graphic>
          </wp:inline>
        </w:drawing>
      </w:r>
    </w:p>
    <w:p w14:paraId="05A23ED4" w14:textId="0D5FF525" w:rsidR="00C41CD1" w:rsidRPr="00785460" w:rsidRDefault="00C41CD1" w:rsidP="00917386">
      <w:pPr>
        <w:spacing w:after="240" w:line="276" w:lineRule="auto"/>
        <w:jc w:val="left"/>
        <w:rPr>
          <w:rFonts w:ascii="Arial" w:hAnsi="Arial" w:cs="Arial"/>
          <w:i/>
          <w:iCs/>
        </w:rPr>
      </w:pPr>
      <w:r w:rsidRPr="00785460">
        <w:rPr>
          <w:rFonts w:ascii="Arial" w:hAnsi="Arial" w:cs="Arial"/>
          <w:i/>
          <w:iCs/>
        </w:rPr>
        <w:t>Źródło: opracowanie własne na podstawie symulacji modelu VESPA</w:t>
      </w:r>
      <w:r w:rsidR="004033AC" w:rsidRPr="00785460">
        <w:rPr>
          <w:rFonts w:ascii="Arial" w:hAnsi="Arial" w:cs="Arial"/>
          <w:i/>
          <w:iCs/>
        </w:rPr>
        <w:t>.</w:t>
      </w:r>
    </w:p>
    <w:p w14:paraId="31095000" w14:textId="31AA7C3E" w:rsidR="0038439C" w:rsidRPr="00785460" w:rsidRDefault="00C41CD1" w:rsidP="00F15187">
      <w:pPr>
        <w:pStyle w:val="Legenda"/>
      </w:pPr>
      <w:bookmarkStart w:id="93" w:name="_Toc173834336"/>
      <w:r w:rsidRPr="00785460">
        <w:t xml:space="preserve">Wykres </w:t>
      </w:r>
      <w:fldSimple w:instr=" SEQ Wykres \* ARABIC ">
        <w:r w:rsidR="009962A2">
          <w:rPr>
            <w:noProof/>
          </w:rPr>
          <w:t>28</w:t>
        </w:r>
      </w:fldSimple>
      <w:r w:rsidRPr="00785460">
        <w:rPr>
          <w:noProof/>
        </w:rPr>
        <w:t>.</w:t>
      </w:r>
      <w:r w:rsidRPr="00785460">
        <w:t xml:space="preserve"> Wpływ funduszy UE na zagrożenie ubóstwem relatywnym (po transferach społecznych)</w:t>
      </w:r>
      <w:bookmarkEnd w:id="93"/>
    </w:p>
    <w:p w14:paraId="457C66A5" w14:textId="4208426F" w:rsidR="00C41CD1" w:rsidRDefault="0094482E" w:rsidP="00917386">
      <w:pPr>
        <w:spacing w:after="0"/>
        <w:jc w:val="left"/>
      </w:pPr>
      <w:r w:rsidRPr="0094482E">
        <w:rPr>
          <w:noProof/>
        </w:rPr>
        <w:drawing>
          <wp:inline distT="0" distB="0" distL="0" distR="0" wp14:anchorId="46B51E74" wp14:editId="1D613675">
            <wp:extent cx="5267325" cy="2804981"/>
            <wp:effectExtent l="0" t="0" r="0" b="0"/>
            <wp:docPr id="257518328" name="Obraz 30" descr="Wykres 27. Wpływ funduszy UE na zagrożenie ubóstwem relatywnym (po transferach społeczny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518328" name="Obraz 30" descr="Wykres 27. Wpływ funduszy UE na zagrożenie ubóstwem relatywnym (po transferach społecznych)"/>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269088" cy="2805920"/>
                    </a:xfrm>
                    <a:prstGeom prst="rect">
                      <a:avLst/>
                    </a:prstGeom>
                    <a:noFill/>
                    <a:ln>
                      <a:noFill/>
                    </a:ln>
                  </pic:spPr>
                </pic:pic>
              </a:graphicData>
            </a:graphic>
          </wp:inline>
        </w:drawing>
      </w:r>
    </w:p>
    <w:p w14:paraId="37896860" w14:textId="77777777" w:rsidR="003C34B6" w:rsidRPr="00785460" w:rsidRDefault="003C34B6" w:rsidP="00917386">
      <w:pPr>
        <w:spacing w:after="240" w:line="276" w:lineRule="auto"/>
        <w:jc w:val="left"/>
        <w:rPr>
          <w:rFonts w:ascii="Arial" w:hAnsi="Arial" w:cs="Arial"/>
          <w:i/>
          <w:iCs/>
        </w:rPr>
      </w:pPr>
      <w:r w:rsidRPr="00785460">
        <w:rPr>
          <w:rFonts w:ascii="Arial" w:hAnsi="Arial" w:cs="Arial"/>
          <w:i/>
          <w:iCs/>
        </w:rPr>
        <w:t>Źródło: opracowanie własne na podstawie symulacji modelu VESPA.</w:t>
      </w:r>
    </w:p>
    <w:p w14:paraId="0ADE42C0" w14:textId="0B8E1C63" w:rsidR="00C41CD1" w:rsidRPr="00785460" w:rsidRDefault="00C41CD1" w:rsidP="00F15187">
      <w:pPr>
        <w:pStyle w:val="Legenda"/>
      </w:pPr>
      <w:bookmarkStart w:id="94" w:name="_Toc173834337"/>
      <w:r w:rsidRPr="00785460">
        <w:lastRenderedPageBreak/>
        <w:t xml:space="preserve">Wykres </w:t>
      </w:r>
      <w:fldSimple w:instr=" SEQ Wykres \* ARABIC ">
        <w:r w:rsidR="009962A2">
          <w:rPr>
            <w:noProof/>
          </w:rPr>
          <w:t>29</w:t>
        </w:r>
      </w:fldSimple>
      <w:r w:rsidRPr="00785460">
        <w:rPr>
          <w:noProof/>
        </w:rPr>
        <w:t>.</w:t>
      </w:r>
      <w:r w:rsidRPr="00785460">
        <w:t xml:space="preserve"> Wpływ funduszy UE na współczynnik Giniego (dochodowy)</w:t>
      </w:r>
      <w:bookmarkEnd w:id="94"/>
    </w:p>
    <w:p w14:paraId="1EDAFD31" w14:textId="3F6B2BE0" w:rsidR="00C41CD1" w:rsidRDefault="0094482E" w:rsidP="00917386">
      <w:pPr>
        <w:spacing w:after="0"/>
        <w:jc w:val="left"/>
        <w:rPr>
          <w:sz w:val="22"/>
          <w:szCs w:val="22"/>
        </w:rPr>
      </w:pPr>
      <w:r w:rsidRPr="0094482E">
        <w:rPr>
          <w:noProof/>
        </w:rPr>
        <w:drawing>
          <wp:inline distT="0" distB="0" distL="0" distR="0" wp14:anchorId="3015F3C4" wp14:editId="00D22905">
            <wp:extent cx="5486400" cy="3108557"/>
            <wp:effectExtent l="0" t="0" r="0" b="0"/>
            <wp:docPr id="1717404747" name="Obraz 28" descr="Wykres 28. Wpływ funduszy UE na współczynnik Giniego (dochodow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7404747" name="Obraz 28" descr="Wykres 28. Wpływ funduszy UE na współczynnik Giniego (dochodowy)"/>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489755" cy="3110458"/>
                    </a:xfrm>
                    <a:prstGeom prst="rect">
                      <a:avLst/>
                    </a:prstGeom>
                    <a:noFill/>
                    <a:ln>
                      <a:noFill/>
                    </a:ln>
                  </pic:spPr>
                </pic:pic>
              </a:graphicData>
            </a:graphic>
          </wp:inline>
        </w:drawing>
      </w:r>
    </w:p>
    <w:p w14:paraId="0B12B2FD" w14:textId="4069ED6E" w:rsidR="008F1D5E" w:rsidRPr="00785460" w:rsidRDefault="00C41CD1" w:rsidP="00F15187">
      <w:pPr>
        <w:spacing w:after="240" w:line="276" w:lineRule="auto"/>
        <w:jc w:val="left"/>
        <w:rPr>
          <w:rFonts w:ascii="Arial" w:hAnsi="Arial" w:cs="Arial"/>
          <w:i/>
          <w:iCs/>
        </w:rPr>
      </w:pPr>
      <w:r w:rsidRPr="00785460">
        <w:rPr>
          <w:rFonts w:ascii="Arial" w:hAnsi="Arial" w:cs="Arial"/>
          <w:i/>
          <w:iCs/>
        </w:rPr>
        <w:t>Źródło: opracowanie własne na podstawie symulacji modelu VESPA</w:t>
      </w:r>
      <w:r w:rsidR="00B05441" w:rsidRPr="00785460">
        <w:rPr>
          <w:rFonts w:ascii="Arial" w:hAnsi="Arial" w:cs="Arial"/>
          <w:i/>
          <w:iCs/>
        </w:rPr>
        <w:t>.</w:t>
      </w:r>
    </w:p>
    <w:p w14:paraId="433D539E" w14:textId="28C843BE" w:rsidR="00195BC6" w:rsidRPr="00917386" w:rsidRDefault="00261BEF" w:rsidP="00917386">
      <w:pPr>
        <w:pStyle w:val="Styl1"/>
        <w:jc w:val="left"/>
        <w:rPr>
          <w:color w:val="3C3C3C"/>
        </w:rPr>
      </w:pPr>
      <w:bookmarkStart w:id="95" w:name="_Toc176241630"/>
      <w:r w:rsidRPr="00917386">
        <w:rPr>
          <w:color w:val="3C3C3C"/>
        </w:rPr>
        <w:t>Wpływ na f</w:t>
      </w:r>
      <w:r w:rsidR="00195BC6" w:rsidRPr="00917386">
        <w:rPr>
          <w:color w:val="3C3C3C"/>
        </w:rPr>
        <w:t>inanse publiczne</w:t>
      </w:r>
      <w:bookmarkEnd w:id="95"/>
    </w:p>
    <w:p w14:paraId="22BD9BE2" w14:textId="6CBBC44D" w:rsidR="00195BC6" w:rsidRPr="005C3719" w:rsidRDefault="00670BBF" w:rsidP="00917386">
      <w:pPr>
        <w:spacing w:after="120" w:line="276" w:lineRule="auto"/>
        <w:jc w:val="left"/>
        <w:rPr>
          <w:rFonts w:ascii="Arial" w:hAnsi="Arial" w:cs="Arial"/>
        </w:rPr>
      </w:pPr>
      <w:bookmarkStart w:id="96" w:name="_Hlk136006592"/>
      <w:r w:rsidRPr="00670BBF">
        <w:rPr>
          <w:rFonts w:ascii="Arial" w:hAnsi="Arial" w:cs="Arial"/>
        </w:rPr>
        <w:t xml:space="preserve">Wzrost produktywności, zatrudnienia, PKB i dochodów w wyniku wydatkowania środków UE </w:t>
      </w:r>
      <w:r w:rsidR="005328CF">
        <w:rPr>
          <w:rFonts w:ascii="Arial" w:hAnsi="Arial" w:cs="Arial"/>
        </w:rPr>
        <w:t xml:space="preserve">przekłada </w:t>
      </w:r>
      <w:r w:rsidRPr="00670BBF">
        <w:rPr>
          <w:rFonts w:ascii="Arial" w:hAnsi="Arial" w:cs="Arial"/>
        </w:rPr>
        <w:t xml:space="preserve">się pozytywnie także na finanse publiczne, które czerpią dochody z podatków nałożonych na produkcję, pracę i konsumpcję. Symulacje modelem VESPA wskazują, że w całym okresie 2004-2030 zysk ten </w:t>
      </w:r>
      <w:r w:rsidR="005328CF" w:rsidRPr="00670BBF">
        <w:rPr>
          <w:rFonts w:ascii="Arial" w:hAnsi="Arial" w:cs="Arial"/>
        </w:rPr>
        <w:t>sięg</w:t>
      </w:r>
      <w:r w:rsidR="005328CF">
        <w:rPr>
          <w:rFonts w:ascii="Arial" w:hAnsi="Arial" w:cs="Arial"/>
        </w:rPr>
        <w:t>a</w:t>
      </w:r>
      <w:r w:rsidR="005328CF" w:rsidRPr="00670BBF">
        <w:rPr>
          <w:rFonts w:ascii="Arial" w:hAnsi="Arial" w:cs="Arial"/>
        </w:rPr>
        <w:t xml:space="preserve"> </w:t>
      </w:r>
      <w:r w:rsidRPr="00670BBF">
        <w:rPr>
          <w:rFonts w:ascii="Arial" w:hAnsi="Arial" w:cs="Arial"/>
        </w:rPr>
        <w:t xml:space="preserve">średnio około 1% PKB rocznie, co oznacza, że wynik sektora finansów publicznych </w:t>
      </w:r>
      <w:r w:rsidR="005328CF">
        <w:rPr>
          <w:rFonts w:ascii="Arial" w:hAnsi="Arial" w:cs="Arial"/>
        </w:rPr>
        <w:t xml:space="preserve">jest </w:t>
      </w:r>
      <w:r w:rsidRPr="00670BBF">
        <w:rPr>
          <w:rFonts w:ascii="Arial" w:hAnsi="Arial" w:cs="Arial"/>
        </w:rPr>
        <w:t xml:space="preserve">o tyle lepszy w porównaniu ze scenariuszem kontrfaktycznym („bez funduszy”). Taka sytuacja bezpośrednio </w:t>
      </w:r>
      <w:r w:rsidR="005328CF" w:rsidRPr="00670BBF">
        <w:rPr>
          <w:rFonts w:ascii="Arial" w:hAnsi="Arial" w:cs="Arial"/>
        </w:rPr>
        <w:t>wpły</w:t>
      </w:r>
      <w:r w:rsidR="005328CF">
        <w:rPr>
          <w:rFonts w:ascii="Arial" w:hAnsi="Arial" w:cs="Arial"/>
        </w:rPr>
        <w:t xml:space="preserve">wa </w:t>
      </w:r>
      <w:r w:rsidRPr="00670BBF">
        <w:rPr>
          <w:rFonts w:ascii="Arial" w:hAnsi="Arial" w:cs="Arial"/>
        </w:rPr>
        <w:t>na mniejsze potrzeby pożyczkowe sektora publicznego, a co za tym idzie, na niższy dług publiczny. Dopiero około roku 2030 – po zakończeniu wydatkowania funduszy z</w:t>
      </w:r>
      <w:r w:rsidR="00EF4149">
        <w:rPr>
          <w:rFonts w:ascii="Arial" w:hAnsi="Arial" w:cs="Arial"/>
        </w:rPr>
        <w:t> </w:t>
      </w:r>
      <w:r w:rsidRPr="00670BBF">
        <w:rPr>
          <w:rFonts w:ascii="Arial" w:hAnsi="Arial" w:cs="Arial"/>
        </w:rPr>
        <w:t xml:space="preserve">analizowanych perspektyw – efekt ten </w:t>
      </w:r>
      <w:r w:rsidR="005328CF">
        <w:rPr>
          <w:rFonts w:ascii="Arial" w:hAnsi="Arial" w:cs="Arial"/>
        </w:rPr>
        <w:t xml:space="preserve">powinien zacząć </w:t>
      </w:r>
      <w:r w:rsidRPr="00670BBF">
        <w:rPr>
          <w:rFonts w:ascii="Arial" w:hAnsi="Arial" w:cs="Arial"/>
        </w:rPr>
        <w:t xml:space="preserve">zanikać, jednak nawet w roku 2033 </w:t>
      </w:r>
      <w:r w:rsidR="005328CF" w:rsidRPr="00670BBF">
        <w:rPr>
          <w:rFonts w:ascii="Arial" w:hAnsi="Arial" w:cs="Arial"/>
        </w:rPr>
        <w:t>pozosta</w:t>
      </w:r>
      <w:r w:rsidR="005328CF">
        <w:rPr>
          <w:rFonts w:ascii="Arial" w:hAnsi="Arial" w:cs="Arial"/>
        </w:rPr>
        <w:t>nie</w:t>
      </w:r>
      <w:r w:rsidR="005328CF" w:rsidRPr="00670BBF">
        <w:rPr>
          <w:rFonts w:ascii="Arial" w:hAnsi="Arial" w:cs="Arial"/>
        </w:rPr>
        <w:t xml:space="preserve"> </w:t>
      </w:r>
      <w:r w:rsidRPr="00670BBF">
        <w:rPr>
          <w:rFonts w:ascii="Arial" w:hAnsi="Arial" w:cs="Arial"/>
        </w:rPr>
        <w:t>pozytywny, dzięki ciągle wyższemu PKB, zatrudnieniu i dochodom gospodarstw domowych.</w:t>
      </w:r>
      <w:r>
        <w:rPr>
          <w:rFonts w:ascii="Arial" w:hAnsi="Arial" w:cs="Arial"/>
        </w:rPr>
        <w:t xml:space="preserve"> </w:t>
      </w:r>
      <w:r w:rsidRPr="00670BBF">
        <w:rPr>
          <w:rFonts w:ascii="Arial" w:hAnsi="Arial" w:cs="Arial"/>
        </w:rPr>
        <w:t>Szczególnie duże znaczenie dla sektora finansów publicznych miały środki UE w okresie spowolnienia gospodarczego wywołanego kryzysem w strefie euro w latach 2011-2015 oraz w okresie wyjścia z</w:t>
      </w:r>
      <w:r w:rsidR="00EF4149">
        <w:rPr>
          <w:rFonts w:ascii="Arial" w:hAnsi="Arial" w:cs="Arial"/>
        </w:rPr>
        <w:t> </w:t>
      </w:r>
      <w:r w:rsidRPr="00670BBF">
        <w:rPr>
          <w:rFonts w:ascii="Arial" w:hAnsi="Arial" w:cs="Arial"/>
        </w:rPr>
        <w:t>pandemii COVID-19 i kryzysu energetycznego wywołanego wojną na Ukrainie. W tych okresach ich wydatkowanie umożliwiło państwu prowadzenie antycyklicznej polityki fiskalnej bez ryzyka przekroczenia konstytucyjnej granicy długu publicznego. Fundusze UE znacząco zmniejszyły koszty makroekonomiczne prowadzenia działań chroniących firmy przed upadłością, tym samym zmniejszając ryzyko poważnej recesji gospodarczej i znacznego wzrostu bezrobocia.</w:t>
      </w:r>
    </w:p>
    <w:p w14:paraId="34AD060A" w14:textId="3F1A2321" w:rsidR="00C41CD1" w:rsidRPr="00785460" w:rsidRDefault="00C41CD1" w:rsidP="00F15187">
      <w:pPr>
        <w:pStyle w:val="Legenda"/>
      </w:pPr>
      <w:bookmarkStart w:id="97" w:name="_Toc173834338"/>
      <w:r w:rsidRPr="00785460">
        <w:lastRenderedPageBreak/>
        <w:t xml:space="preserve">Wykres </w:t>
      </w:r>
      <w:fldSimple w:instr=" SEQ Wykres \* ARABIC ">
        <w:r w:rsidR="009962A2">
          <w:rPr>
            <w:noProof/>
          </w:rPr>
          <w:t>30</w:t>
        </w:r>
      </w:fldSimple>
      <w:r w:rsidRPr="00785460">
        <w:rPr>
          <w:noProof/>
        </w:rPr>
        <w:t>.</w:t>
      </w:r>
      <w:r w:rsidRPr="00785460">
        <w:t xml:space="preserve"> Wpływ funduszy UE na wynik sektora finansów publicznych (w proc. PKB)</w:t>
      </w:r>
      <w:bookmarkEnd w:id="97"/>
    </w:p>
    <w:p w14:paraId="3CFA6E91" w14:textId="5A4D641F" w:rsidR="00C41CD1" w:rsidRDefault="0094482E" w:rsidP="00917386">
      <w:pPr>
        <w:spacing w:after="0"/>
        <w:jc w:val="left"/>
        <w:rPr>
          <w:sz w:val="22"/>
          <w:szCs w:val="22"/>
        </w:rPr>
      </w:pPr>
      <w:r w:rsidRPr="0094482E">
        <w:rPr>
          <w:noProof/>
        </w:rPr>
        <w:drawing>
          <wp:inline distT="0" distB="0" distL="0" distR="0" wp14:anchorId="68E57441" wp14:editId="4B607AA5">
            <wp:extent cx="5759450" cy="3105150"/>
            <wp:effectExtent l="0" t="0" r="0" b="0"/>
            <wp:docPr id="108303208" name="Obraz 31" descr="Wykres 29. Wpływ funduszy UE na wynik sektora finansów publicznych (w proc. P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303208" name="Obraz 31" descr="Wykres 29. Wpływ funduszy UE na wynik sektora finansów publicznych (w proc. PKB)"/>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759450" cy="3105150"/>
                    </a:xfrm>
                    <a:prstGeom prst="rect">
                      <a:avLst/>
                    </a:prstGeom>
                    <a:noFill/>
                    <a:ln>
                      <a:noFill/>
                    </a:ln>
                  </pic:spPr>
                </pic:pic>
              </a:graphicData>
            </a:graphic>
          </wp:inline>
        </w:drawing>
      </w:r>
    </w:p>
    <w:p w14:paraId="1005DB5F" w14:textId="4881419F" w:rsidR="00C41CD1" w:rsidRPr="00785460" w:rsidRDefault="00C41CD1" w:rsidP="00917386">
      <w:pPr>
        <w:spacing w:after="240" w:line="276" w:lineRule="auto"/>
        <w:jc w:val="left"/>
        <w:rPr>
          <w:rFonts w:ascii="Arial" w:hAnsi="Arial" w:cs="Arial"/>
          <w:i/>
          <w:iCs/>
          <w:sz w:val="22"/>
          <w:szCs w:val="22"/>
        </w:rPr>
      </w:pPr>
      <w:r w:rsidRPr="00785460">
        <w:rPr>
          <w:rFonts w:ascii="Arial" w:hAnsi="Arial" w:cs="Arial"/>
          <w:i/>
          <w:iCs/>
        </w:rPr>
        <w:t>Źródło: opracowanie własne na podstawie symulacji modelu VESPA</w:t>
      </w:r>
      <w:r w:rsidR="004033AC" w:rsidRPr="00785460">
        <w:rPr>
          <w:rFonts w:ascii="Arial" w:hAnsi="Arial" w:cs="Arial"/>
          <w:i/>
          <w:iCs/>
        </w:rPr>
        <w:t>.</w:t>
      </w:r>
    </w:p>
    <w:p w14:paraId="7BEBAA40" w14:textId="05A9FFA9" w:rsidR="0009288B" w:rsidRPr="00785460" w:rsidRDefault="00C41CD1" w:rsidP="00F15187">
      <w:pPr>
        <w:pStyle w:val="Legenda"/>
      </w:pPr>
      <w:bookmarkStart w:id="98" w:name="_Toc173834339"/>
      <w:bookmarkEnd w:id="96"/>
      <w:r w:rsidRPr="00785460">
        <w:t xml:space="preserve">Wykres </w:t>
      </w:r>
      <w:fldSimple w:instr=" SEQ Wykres \* ARABIC ">
        <w:r w:rsidR="009962A2">
          <w:rPr>
            <w:noProof/>
          </w:rPr>
          <w:t>31</w:t>
        </w:r>
      </w:fldSimple>
      <w:r w:rsidRPr="00785460">
        <w:rPr>
          <w:noProof/>
        </w:rPr>
        <w:t>.</w:t>
      </w:r>
      <w:r w:rsidRPr="00785460">
        <w:t xml:space="preserve"> Wpływ funduszy UE na dług publiczny (w proc. PKB)</w:t>
      </w:r>
      <w:bookmarkEnd w:id="98"/>
    </w:p>
    <w:p w14:paraId="08C11360" w14:textId="3CABD910" w:rsidR="00C41CD1" w:rsidRDefault="0094482E" w:rsidP="00917386">
      <w:pPr>
        <w:spacing w:after="0"/>
        <w:jc w:val="left"/>
        <w:rPr>
          <w:b/>
          <w:bCs/>
          <w:sz w:val="22"/>
          <w:szCs w:val="22"/>
        </w:rPr>
      </w:pPr>
      <w:r w:rsidRPr="0094482E">
        <w:rPr>
          <w:noProof/>
        </w:rPr>
        <w:drawing>
          <wp:inline distT="0" distB="0" distL="0" distR="0" wp14:anchorId="5085C620" wp14:editId="09657AB2">
            <wp:extent cx="5759450" cy="3256915"/>
            <wp:effectExtent l="0" t="0" r="0" b="0"/>
            <wp:docPr id="311665371" name="Obraz 32" descr="Źródło: opracowanie własne na podstawie symulacji modelu VES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665371" name="Obraz 32" descr="Źródło: opracowanie własne na podstawie symulacji modelu VESPA."/>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759450" cy="3256915"/>
                    </a:xfrm>
                    <a:prstGeom prst="rect">
                      <a:avLst/>
                    </a:prstGeom>
                    <a:noFill/>
                    <a:ln>
                      <a:noFill/>
                    </a:ln>
                  </pic:spPr>
                </pic:pic>
              </a:graphicData>
            </a:graphic>
          </wp:inline>
        </w:drawing>
      </w:r>
    </w:p>
    <w:p w14:paraId="1E303818" w14:textId="274C2B8D" w:rsidR="00C41CD1" w:rsidRPr="00785460" w:rsidRDefault="00C41CD1" w:rsidP="00917386">
      <w:pPr>
        <w:spacing w:after="240" w:line="276" w:lineRule="auto"/>
        <w:jc w:val="left"/>
        <w:rPr>
          <w:rFonts w:ascii="Arial" w:hAnsi="Arial" w:cs="Arial"/>
          <w:b/>
          <w:bCs/>
          <w:i/>
          <w:iCs/>
          <w:sz w:val="22"/>
          <w:szCs w:val="22"/>
        </w:rPr>
      </w:pPr>
      <w:r w:rsidRPr="00785460">
        <w:rPr>
          <w:rFonts w:ascii="Arial" w:hAnsi="Arial" w:cs="Arial"/>
          <w:i/>
          <w:iCs/>
        </w:rPr>
        <w:t>Źródło: opracowanie własne na podstawie symulacji modelu VESPA</w:t>
      </w:r>
      <w:r w:rsidR="004033AC" w:rsidRPr="00785460">
        <w:rPr>
          <w:rFonts w:ascii="Arial" w:hAnsi="Arial" w:cs="Arial"/>
          <w:i/>
          <w:iCs/>
        </w:rPr>
        <w:t>.</w:t>
      </w:r>
    </w:p>
    <w:p w14:paraId="4ECC6619" w14:textId="77777777" w:rsidR="002B3E90" w:rsidRDefault="002B3E90" w:rsidP="00F15187">
      <w:pPr>
        <w:spacing w:after="0"/>
        <w:jc w:val="left"/>
        <w:rPr>
          <w:rFonts w:ascii="Calibri Light" w:hAnsi="Calibri Light"/>
          <w:b/>
          <w:caps/>
          <w:color w:val="FFFFFF"/>
          <w:spacing w:val="15"/>
          <w:sz w:val="26"/>
          <w:szCs w:val="26"/>
        </w:rPr>
      </w:pPr>
      <w:r>
        <w:br w:type="page"/>
      </w:r>
    </w:p>
    <w:p w14:paraId="1D4034FE" w14:textId="51A8AB9C" w:rsidR="00053FF4" w:rsidRPr="00917386" w:rsidRDefault="00053FF4" w:rsidP="00917386">
      <w:pPr>
        <w:pStyle w:val="Styl1"/>
        <w:jc w:val="left"/>
        <w:rPr>
          <w:color w:val="3C3C3C"/>
        </w:rPr>
      </w:pPr>
      <w:bookmarkStart w:id="99" w:name="_Toc176241631"/>
      <w:r w:rsidRPr="00917386">
        <w:rPr>
          <w:color w:val="3C3C3C"/>
        </w:rPr>
        <w:lastRenderedPageBreak/>
        <w:t>Wpływ na handel zagraniczny</w:t>
      </w:r>
      <w:bookmarkEnd w:id="99"/>
      <w:r w:rsidR="00432744" w:rsidRPr="00917386">
        <w:rPr>
          <w:color w:val="3C3C3C"/>
        </w:rPr>
        <w:t xml:space="preserve"> </w:t>
      </w:r>
    </w:p>
    <w:p w14:paraId="0A9DC75B" w14:textId="763AEB60" w:rsidR="008F1D5E" w:rsidRPr="005C3719" w:rsidRDefault="00670BBF" w:rsidP="00917386">
      <w:pPr>
        <w:spacing w:after="120" w:line="276" w:lineRule="auto"/>
        <w:jc w:val="left"/>
        <w:rPr>
          <w:rFonts w:ascii="Arial" w:hAnsi="Arial" w:cs="Arial"/>
        </w:rPr>
      </w:pPr>
      <w:r w:rsidRPr="00670BBF">
        <w:rPr>
          <w:rFonts w:ascii="Arial" w:hAnsi="Arial" w:cs="Arial"/>
        </w:rPr>
        <w:t xml:space="preserve">Ostatnią grupą zmiennych makroekonomicznych poddanych analizie były wskaźniki dotyczące handlu zagranicznego: eksport, import i saldo obrotów bieżących. W ich przypadku wzorzec oddziaływania funduszy UE </w:t>
      </w:r>
      <w:r w:rsidR="005328CF">
        <w:rPr>
          <w:rFonts w:ascii="Arial" w:hAnsi="Arial" w:cs="Arial"/>
        </w:rPr>
        <w:t xml:space="preserve">jest </w:t>
      </w:r>
      <w:r w:rsidRPr="00670BBF">
        <w:rPr>
          <w:rFonts w:ascii="Arial" w:hAnsi="Arial" w:cs="Arial"/>
        </w:rPr>
        <w:t>nieco inny niż w przypadku pozostałych analizowanych wielkości. Bezpośrednie wsparcie przedsiębiorstw przekłada się na wzrost ich możliwości produkcyjnych, a inwestycje w</w:t>
      </w:r>
      <w:r w:rsidR="00EF4149">
        <w:rPr>
          <w:rFonts w:ascii="Arial" w:hAnsi="Arial" w:cs="Arial"/>
        </w:rPr>
        <w:t> </w:t>
      </w:r>
      <w:r w:rsidRPr="00670BBF">
        <w:rPr>
          <w:rFonts w:ascii="Arial" w:hAnsi="Arial" w:cs="Arial"/>
        </w:rPr>
        <w:t xml:space="preserve">infrastrukturę transportową </w:t>
      </w:r>
      <w:r w:rsidR="005328CF" w:rsidRPr="00670BBF">
        <w:rPr>
          <w:rFonts w:ascii="Arial" w:hAnsi="Arial" w:cs="Arial"/>
        </w:rPr>
        <w:t>zwiększa</w:t>
      </w:r>
      <w:r w:rsidR="005328CF">
        <w:rPr>
          <w:rFonts w:ascii="Arial" w:hAnsi="Arial" w:cs="Arial"/>
        </w:rPr>
        <w:t>ją</w:t>
      </w:r>
      <w:r w:rsidR="005328CF" w:rsidRPr="00670BBF">
        <w:rPr>
          <w:rFonts w:ascii="Arial" w:hAnsi="Arial" w:cs="Arial"/>
        </w:rPr>
        <w:t xml:space="preserve"> </w:t>
      </w:r>
      <w:r w:rsidRPr="00670BBF">
        <w:rPr>
          <w:rFonts w:ascii="Arial" w:hAnsi="Arial" w:cs="Arial"/>
        </w:rPr>
        <w:t>produktywność krajowej logistyki. W wyniku wsparcia z</w:t>
      </w:r>
      <w:r w:rsidR="00EF4149">
        <w:rPr>
          <w:rFonts w:ascii="Arial" w:hAnsi="Arial" w:cs="Arial"/>
        </w:rPr>
        <w:t> </w:t>
      </w:r>
      <w:r w:rsidRPr="00670BBF">
        <w:rPr>
          <w:rFonts w:ascii="Arial" w:hAnsi="Arial" w:cs="Arial"/>
        </w:rPr>
        <w:t xml:space="preserve">funduszy UE stopniowo </w:t>
      </w:r>
      <w:r w:rsidR="005328CF" w:rsidRPr="00670BBF">
        <w:rPr>
          <w:rFonts w:ascii="Arial" w:hAnsi="Arial" w:cs="Arial"/>
        </w:rPr>
        <w:t>ros</w:t>
      </w:r>
      <w:r w:rsidR="005328CF">
        <w:rPr>
          <w:rFonts w:ascii="Arial" w:hAnsi="Arial" w:cs="Arial"/>
        </w:rPr>
        <w:t>ną więc</w:t>
      </w:r>
      <w:r w:rsidR="005328CF" w:rsidRPr="00670BBF">
        <w:rPr>
          <w:rFonts w:ascii="Arial" w:hAnsi="Arial" w:cs="Arial"/>
        </w:rPr>
        <w:t xml:space="preserve"> </w:t>
      </w:r>
      <w:r w:rsidRPr="00670BBF">
        <w:rPr>
          <w:rFonts w:ascii="Arial" w:hAnsi="Arial" w:cs="Arial"/>
        </w:rPr>
        <w:t>możliwości eksportowe całej gospodarki. Z drugiej strony inwestycje w</w:t>
      </w:r>
      <w:r w:rsidR="00EF4149">
        <w:rPr>
          <w:rFonts w:ascii="Arial" w:hAnsi="Arial" w:cs="Arial"/>
        </w:rPr>
        <w:t> </w:t>
      </w:r>
      <w:r w:rsidRPr="00670BBF">
        <w:rPr>
          <w:rFonts w:ascii="Arial" w:hAnsi="Arial" w:cs="Arial"/>
        </w:rPr>
        <w:t xml:space="preserve">maszyny i urządzenia oraz infrastrukturę </w:t>
      </w:r>
      <w:r w:rsidR="005328CF">
        <w:rPr>
          <w:rFonts w:ascii="Arial" w:hAnsi="Arial" w:cs="Arial"/>
        </w:rPr>
        <w:t xml:space="preserve">są </w:t>
      </w:r>
      <w:r w:rsidRPr="00670BBF">
        <w:rPr>
          <w:rFonts w:ascii="Arial" w:hAnsi="Arial" w:cs="Arial"/>
        </w:rPr>
        <w:t>powiązane z koniecznością dodatkowego importu dóbr inwestycyjnych i materiałowych.</w:t>
      </w:r>
      <w:r>
        <w:rPr>
          <w:rFonts w:ascii="Arial" w:hAnsi="Arial" w:cs="Arial"/>
        </w:rPr>
        <w:t xml:space="preserve"> </w:t>
      </w:r>
      <w:r w:rsidRPr="00670BBF">
        <w:rPr>
          <w:rFonts w:ascii="Arial" w:hAnsi="Arial" w:cs="Arial"/>
        </w:rPr>
        <w:t xml:space="preserve">W rezultacie wydatkowania funduszy UE </w:t>
      </w:r>
      <w:r w:rsidR="005328CF" w:rsidRPr="00670BBF">
        <w:rPr>
          <w:rFonts w:ascii="Arial" w:hAnsi="Arial" w:cs="Arial"/>
        </w:rPr>
        <w:t>wzrasta</w:t>
      </w:r>
      <w:r w:rsidR="005328CF">
        <w:rPr>
          <w:rFonts w:ascii="Arial" w:hAnsi="Arial" w:cs="Arial"/>
        </w:rPr>
        <w:t>ją więc</w:t>
      </w:r>
      <w:r w:rsidR="005328CF" w:rsidRPr="00670BBF">
        <w:rPr>
          <w:rFonts w:ascii="Arial" w:hAnsi="Arial" w:cs="Arial"/>
        </w:rPr>
        <w:t xml:space="preserve"> </w:t>
      </w:r>
      <w:r w:rsidRPr="00670BBF">
        <w:rPr>
          <w:rFonts w:ascii="Arial" w:hAnsi="Arial" w:cs="Arial"/>
        </w:rPr>
        <w:t>zarówno eksport, jak i import. Model VESPA wskazuje, że w okresie 2004-2020 oba te efekty się równoważyły, co</w:t>
      </w:r>
      <w:r w:rsidR="00EF4149">
        <w:rPr>
          <w:rFonts w:ascii="Arial" w:hAnsi="Arial" w:cs="Arial"/>
        </w:rPr>
        <w:t> </w:t>
      </w:r>
      <w:r w:rsidRPr="00670BBF">
        <w:rPr>
          <w:rFonts w:ascii="Arial" w:hAnsi="Arial" w:cs="Arial"/>
        </w:rPr>
        <w:t>oznaczało neutralne oddziaływanie wsparcia unijnego na bilans obrotów bieżących. Z czasem jednak możliwości eksportowe polskich firm wzrosły na tyle, że przeważyły nad potrzebami importowymi stymulowanymi wzmożoną aktywnością inwestycyjną i produkcyjną wynikającą z wydatków UE.</w:t>
      </w:r>
      <w:r>
        <w:rPr>
          <w:rFonts w:ascii="Arial" w:hAnsi="Arial" w:cs="Arial"/>
        </w:rPr>
        <w:t xml:space="preserve"> </w:t>
      </w:r>
      <w:r w:rsidRPr="00670BBF">
        <w:rPr>
          <w:rFonts w:ascii="Arial" w:hAnsi="Arial" w:cs="Arial"/>
        </w:rPr>
        <w:t>W</w:t>
      </w:r>
      <w:r w:rsidR="00EF4149">
        <w:rPr>
          <w:rFonts w:ascii="Arial" w:hAnsi="Arial" w:cs="Arial"/>
        </w:rPr>
        <w:t> </w:t>
      </w:r>
      <w:r w:rsidRPr="00670BBF">
        <w:rPr>
          <w:rFonts w:ascii="Arial" w:hAnsi="Arial" w:cs="Arial"/>
        </w:rPr>
        <w:t>drugiej połowie analizowanego okresu inwestycje, a co za tym idzie także import, zaczęły maleć, co</w:t>
      </w:r>
      <w:r w:rsidR="00EF4149">
        <w:rPr>
          <w:rFonts w:ascii="Arial" w:hAnsi="Arial" w:cs="Arial"/>
        </w:rPr>
        <w:t> </w:t>
      </w:r>
      <w:r w:rsidRPr="00670BBF">
        <w:rPr>
          <w:rFonts w:ascii="Arial" w:hAnsi="Arial" w:cs="Arial"/>
        </w:rPr>
        <w:t>przełożyło się na wyraźną poprawę salda obrotów bieżących i pojawienie się nadwyżki eksportu nad importem w porównaniu do scenariusza kontrfaktycznego. Model VESPA wskazuje, że w odróżnieniu od PKB, inwestycji, zatrudnienia czy samych wolumenów eksportu i importu, wpływ na saldo obrotów bieżących powinien mieć charakter trwały. Oznacza to, że w wyniku wsparcia UE doszło do</w:t>
      </w:r>
      <w:r w:rsidR="00EF4149">
        <w:rPr>
          <w:rFonts w:ascii="Arial" w:hAnsi="Arial" w:cs="Arial"/>
        </w:rPr>
        <w:t> </w:t>
      </w:r>
      <w:r w:rsidRPr="00670BBF">
        <w:rPr>
          <w:rFonts w:ascii="Arial" w:hAnsi="Arial" w:cs="Arial"/>
        </w:rPr>
        <w:t>fundamentalnej poprawy krajowych Terms of Trade, co wspierało przeobrażanie się Polski z kraju deficytu handlowego w kraj nadwyżkowy.</w:t>
      </w:r>
    </w:p>
    <w:p w14:paraId="1B32C758" w14:textId="31D7A7CF" w:rsidR="002D786B" w:rsidRPr="00785460" w:rsidRDefault="00C41CD1" w:rsidP="00F15187">
      <w:pPr>
        <w:pStyle w:val="Legenda"/>
      </w:pPr>
      <w:bookmarkStart w:id="100" w:name="_Toc173834340"/>
      <w:r w:rsidRPr="00785460">
        <w:t xml:space="preserve">Wykres </w:t>
      </w:r>
      <w:fldSimple w:instr=" SEQ Wykres \* ARABIC ">
        <w:r w:rsidR="009962A2">
          <w:rPr>
            <w:noProof/>
          </w:rPr>
          <w:t>32</w:t>
        </w:r>
      </w:fldSimple>
      <w:r w:rsidRPr="00785460">
        <w:rPr>
          <w:noProof/>
        </w:rPr>
        <w:t>.</w:t>
      </w:r>
      <w:r w:rsidRPr="00785460">
        <w:t xml:space="preserve"> Wpływ funduszy UE na dynamikę handlu zagranicznego oraz saldo obrotów bieżących</w:t>
      </w:r>
      <w:bookmarkEnd w:id="100"/>
    </w:p>
    <w:p w14:paraId="0F44756C" w14:textId="6FC58EF2" w:rsidR="00C41CD1" w:rsidRPr="00785460" w:rsidRDefault="0094482E" w:rsidP="00917386">
      <w:pPr>
        <w:spacing w:after="0"/>
        <w:jc w:val="left"/>
        <w:rPr>
          <w:rFonts w:ascii="Arial" w:hAnsi="Arial" w:cs="Arial"/>
        </w:rPr>
      </w:pPr>
      <w:r w:rsidRPr="0094482E">
        <w:rPr>
          <w:noProof/>
        </w:rPr>
        <w:drawing>
          <wp:inline distT="0" distB="0" distL="0" distR="0" wp14:anchorId="04927766" wp14:editId="2A9CB10D">
            <wp:extent cx="5759450" cy="3527425"/>
            <wp:effectExtent l="0" t="0" r="0" b="0"/>
            <wp:docPr id="174653747" name="Obraz 33" descr="Wykres 31. Wpływ funduszy UE na dynamikę handlu zagranicznego oraz saldo obrotów bieżący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653747" name="Obraz 33" descr="Wykres 31. Wpływ funduszy UE na dynamikę handlu zagranicznego oraz saldo obrotów bieżących"/>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759450" cy="3527425"/>
                    </a:xfrm>
                    <a:prstGeom prst="rect">
                      <a:avLst/>
                    </a:prstGeom>
                    <a:noFill/>
                    <a:ln>
                      <a:noFill/>
                    </a:ln>
                  </pic:spPr>
                </pic:pic>
              </a:graphicData>
            </a:graphic>
          </wp:inline>
        </w:drawing>
      </w:r>
    </w:p>
    <w:p w14:paraId="76E40801" w14:textId="6D424C52" w:rsidR="00C41CD1" w:rsidRPr="00785460" w:rsidRDefault="00C41CD1" w:rsidP="00917386">
      <w:pPr>
        <w:spacing w:after="240" w:line="276" w:lineRule="auto"/>
        <w:jc w:val="left"/>
        <w:rPr>
          <w:rFonts w:ascii="Arial" w:hAnsi="Arial" w:cs="Arial"/>
          <w:i/>
          <w:iCs/>
        </w:rPr>
      </w:pPr>
      <w:r w:rsidRPr="00785460">
        <w:rPr>
          <w:rFonts w:ascii="Arial" w:hAnsi="Arial" w:cs="Arial"/>
          <w:i/>
          <w:iCs/>
        </w:rPr>
        <w:t>Źródło: opracowanie własne na podstawie symulacji modelu VESPA</w:t>
      </w:r>
      <w:r w:rsidR="004033AC" w:rsidRPr="00785460">
        <w:rPr>
          <w:rFonts w:ascii="Arial" w:hAnsi="Arial" w:cs="Arial"/>
          <w:i/>
          <w:iCs/>
        </w:rPr>
        <w:t>.</w:t>
      </w:r>
    </w:p>
    <w:p w14:paraId="084E0AF8" w14:textId="692C342B" w:rsidR="00C41CD1" w:rsidRPr="00785460" w:rsidRDefault="00C41CD1" w:rsidP="00F15187">
      <w:pPr>
        <w:pStyle w:val="Legenda"/>
      </w:pPr>
      <w:bookmarkStart w:id="101" w:name="_Toc173834341"/>
      <w:r w:rsidRPr="00785460">
        <w:lastRenderedPageBreak/>
        <w:t xml:space="preserve">Wykres </w:t>
      </w:r>
      <w:fldSimple w:instr=" SEQ Wykres \* ARABIC ">
        <w:r w:rsidR="009962A2">
          <w:rPr>
            <w:noProof/>
          </w:rPr>
          <w:t>33</w:t>
        </w:r>
      </w:fldSimple>
      <w:r w:rsidRPr="00785460">
        <w:rPr>
          <w:noProof/>
        </w:rPr>
        <w:t>.</w:t>
      </w:r>
      <w:r w:rsidRPr="00785460">
        <w:t xml:space="preserve"> Wpływ funduszy UE na eksport w ujęciu płatniczym</w:t>
      </w:r>
      <w:bookmarkEnd w:id="101"/>
    </w:p>
    <w:p w14:paraId="72B6FA53" w14:textId="5DD243CC" w:rsidR="00C41CD1" w:rsidRDefault="0094482E" w:rsidP="00917386">
      <w:pPr>
        <w:spacing w:after="0"/>
        <w:jc w:val="left"/>
        <w:rPr>
          <w:sz w:val="22"/>
          <w:szCs w:val="22"/>
        </w:rPr>
      </w:pPr>
      <w:r w:rsidRPr="0094482E">
        <w:rPr>
          <w:noProof/>
        </w:rPr>
        <w:drawing>
          <wp:inline distT="0" distB="0" distL="0" distR="0" wp14:anchorId="3A9A4BD7" wp14:editId="2DC4EC10">
            <wp:extent cx="5759450" cy="3328670"/>
            <wp:effectExtent l="0" t="0" r="0" b="0"/>
            <wp:docPr id="904656777" name="Obraz 34" descr="Wykres 32. Wpływ funduszy UE na eksport w ujęciu płatniczy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4656777" name="Obraz 34" descr="Wykres 32. Wpływ funduszy UE na eksport w ujęciu płatniczym"/>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759450" cy="3328670"/>
                    </a:xfrm>
                    <a:prstGeom prst="rect">
                      <a:avLst/>
                    </a:prstGeom>
                    <a:noFill/>
                    <a:ln>
                      <a:noFill/>
                    </a:ln>
                  </pic:spPr>
                </pic:pic>
              </a:graphicData>
            </a:graphic>
          </wp:inline>
        </w:drawing>
      </w:r>
    </w:p>
    <w:p w14:paraId="326D4AA5" w14:textId="116B94D3" w:rsidR="00C41CD1" w:rsidRPr="00785460" w:rsidRDefault="00C41CD1" w:rsidP="00917386">
      <w:pPr>
        <w:spacing w:after="240" w:line="276" w:lineRule="auto"/>
        <w:jc w:val="left"/>
        <w:rPr>
          <w:rFonts w:ascii="Arial" w:hAnsi="Arial" w:cs="Arial"/>
          <w:i/>
          <w:iCs/>
          <w:sz w:val="22"/>
          <w:szCs w:val="22"/>
        </w:rPr>
      </w:pPr>
      <w:r w:rsidRPr="00785460">
        <w:rPr>
          <w:rFonts w:ascii="Arial" w:hAnsi="Arial" w:cs="Arial"/>
          <w:i/>
          <w:iCs/>
        </w:rPr>
        <w:t>Źródło: opracowanie własne na podstawie symulacji modelu VESPA</w:t>
      </w:r>
      <w:r w:rsidR="004033AC" w:rsidRPr="00785460">
        <w:rPr>
          <w:rFonts w:ascii="Arial" w:hAnsi="Arial" w:cs="Arial"/>
          <w:i/>
          <w:iCs/>
        </w:rPr>
        <w:t>.</w:t>
      </w:r>
    </w:p>
    <w:p w14:paraId="2EFA7374" w14:textId="6E1B7C5A" w:rsidR="00C41CD1" w:rsidRPr="00785460" w:rsidRDefault="00C41CD1" w:rsidP="00F15187">
      <w:pPr>
        <w:pStyle w:val="Legenda"/>
      </w:pPr>
      <w:bookmarkStart w:id="102" w:name="_Toc173834342"/>
      <w:r w:rsidRPr="00785460">
        <w:t xml:space="preserve">Wykres </w:t>
      </w:r>
      <w:fldSimple w:instr=" SEQ Wykres \* ARABIC ">
        <w:r w:rsidR="009962A2">
          <w:rPr>
            <w:noProof/>
          </w:rPr>
          <w:t>34</w:t>
        </w:r>
      </w:fldSimple>
      <w:r w:rsidRPr="00785460">
        <w:rPr>
          <w:noProof/>
        </w:rPr>
        <w:t>.</w:t>
      </w:r>
      <w:r w:rsidRPr="00785460">
        <w:t xml:space="preserve"> Wpływ funduszy UE na import w ujęciu płatniczym</w:t>
      </w:r>
      <w:bookmarkEnd w:id="102"/>
    </w:p>
    <w:p w14:paraId="6697CB68" w14:textId="65D63B88" w:rsidR="00C41CD1" w:rsidRDefault="0094482E" w:rsidP="00917386">
      <w:pPr>
        <w:spacing w:after="0"/>
        <w:jc w:val="left"/>
        <w:rPr>
          <w:sz w:val="22"/>
          <w:szCs w:val="22"/>
        </w:rPr>
      </w:pPr>
      <w:r w:rsidRPr="0094482E">
        <w:rPr>
          <w:noProof/>
        </w:rPr>
        <w:drawing>
          <wp:inline distT="0" distB="0" distL="0" distR="0" wp14:anchorId="710628F3" wp14:editId="5394D51D">
            <wp:extent cx="5759450" cy="3391535"/>
            <wp:effectExtent l="0" t="0" r="0" b="0"/>
            <wp:docPr id="1965100559" name="Obraz 35" descr="Wykres 33. Wpływ funduszy UE na import w ujęciu płatniczy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5100559" name="Obraz 35" descr="Wykres 33. Wpływ funduszy UE na import w ujęciu płatniczym"/>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759450" cy="3391535"/>
                    </a:xfrm>
                    <a:prstGeom prst="rect">
                      <a:avLst/>
                    </a:prstGeom>
                    <a:noFill/>
                    <a:ln>
                      <a:noFill/>
                    </a:ln>
                  </pic:spPr>
                </pic:pic>
              </a:graphicData>
            </a:graphic>
          </wp:inline>
        </w:drawing>
      </w:r>
    </w:p>
    <w:p w14:paraId="498DF397" w14:textId="0D5AFDA4" w:rsidR="00CF3121" w:rsidRPr="00785460" w:rsidRDefault="00C41CD1" w:rsidP="00917386">
      <w:pPr>
        <w:spacing w:after="240" w:line="276" w:lineRule="auto"/>
        <w:jc w:val="left"/>
        <w:rPr>
          <w:rFonts w:ascii="Arial" w:hAnsi="Arial" w:cs="Arial"/>
          <w:i/>
          <w:iCs/>
          <w:sz w:val="22"/>
          <w:szCs w:val="22"/>
        </w:rPr>
      </w:pPr>
      <w:r w:rsidRPr="00785460">
        <w:rPr>
          <w:rFonts w:ascii="Arial" w:hAnsi="Arial" w:cs="Arial"/>
          <w:i/>
          <w:iCs/>
        </w:rPr>
        <w:t>Źródło: opracowanie własne na podstawie symulacji modelu VESPA</w:t>
      </w:r>
      <w:r w:rsidR="004033AC" w:rsidRPr="00785460">
        <w:rPr>
          <w:rFonts w:ascii="Arial" w:hAnsi="Arial" w:cs="Arial"/>
          <w:i/>
          <w:iCs/>
        </w:rPr>
        <w:t>.</w:t>
      </w:r>
    </w:p>
    <w:p w14:paraId="535627E9" w14:textId="77777777" w:rsidR="005D3293" w:rsidRPr="00785460" w:rsidRDefault="005D3293" w:rsidP="00917386">
      <w:pPr>
        <w:jc w:val="left"/>
        <w:rPr>
          <w:rFonts w:ascii="Arial" w:hAnsi="Arial" w:cs="Arial"/>
        </w:rPr>
        <w:sectPr w:rsidR="005D3293" w:rsidRPr="00785460" w:rsidSect="000D6E34">
          <w:headerReference w:type="default" r:id="rId73"/>
          <w:footerReference w:type="default" r:id="rId74"/>
          <w:pgSz w:w="11906" w:h="16838"/>
          <w:pgMar w:top="1418" w:right="1418" w:bottom="1418" w:left="1418" w:header="709" w:footer="709" w:gutter="0"/>
          <w:cols w:space="708"/>
          <w:titlePg/>
          <w:docGrid w:linePitch="360"/>
        </w:sectPr>
      </w:pPr>
    </w:p>
    <w:p w14:paraId="2B4608F6" w14:textId="2314099B" w:rsidR="005D3293" w:rsidRPr="00D6432A" w:rsidRDefault="002A32BB" w:rsidP="00917386">
      <w:pPr>
        <w:pStyle w:val="Styl2"/>
        <w:jc w:val="left"/>
      </w:pPr>
      <w:bookmarkStart w:id="103" w:name="_Toc494086954"/>
      <w:bookmarkStart w:id="104" w:name="_Toc176241632"/>
      <w:r>
        <w:lastRenderedPageBreak/>
        <w:t xml:space="preserve">Wnioski i </w:t>
      </w:r>
      <w:r w:rsidR="00953E20">
        <w:t>r</w:t>
      </w:r>
      <w:r w:rsidR="005D3293">
        <w:t>ekomendacje</w:t>
      </w:r>
      <w:bookmarkEnd w:id="103"/>
      <w:bookmarkEnd w:id="104"/>
    </w:p>
    <w:tbl>
      <w:tblPr>
        <w:tblW w:w="15931" w:type="dxa"/>
        <w:tblInd w:w="-908"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85" w:type="dxa"/>
          <w:right w:w="115" w:type="dxa"/>
        </w:tblCellMar>
        <w:tblLook w:val="04A0" w:firstRow="1" w:lastRow="0" w:firstColumn="1" w:lastColumn="0" w:noHBand="0" w:noVBand="1"/>
        <w:tblCaption w:val="Tabela wniosków i rekomendacji"/>
        <w:tblDescription w:val="Nr Treść wniosku Treść rekomendacji Adresat rekomendacji Sposób wdrożenia Termin wdrożenia  Klasa rekomendacji&#10;1. Wydatkowanie funduszy UE w dotychczasowej skali (ok. 3% PKB średniorocznie w latach 2004-2029) przekładało się na podobny co do skali wpływ na PKB per capita i konwergencję względem UE-27 (3-4 p.p.). Zmniejszenie względnej skali wsparcia po roku 2025 wiązać się będzie z utratą tego efektu.   Negocjacje kolejnej perspektyw finansowej powinny dążyć do utrzymania skali wsparcia w ramach polityki spójności i równoważnych jej rzeczowo instrumentów (np. w ramach PROW) na poziomie co najmniej 2% przyszłego PKB. MFiPR Wpisanie celu minimalnego 2% w polską strategię negocjacyjną nowej perspektywy finansowej UE I kw. 2024 horyzontalna&#10;2 Siła wpływu funduszy UE na PKB i zatrudnienie była zależna od bieżącej skali wydatkowania tych funduszy, wahając się od ok. 1% nawet do 7% rocznie, na co składało się złożenie efektów popytowych (keynesowskich) z podażowymi (wpływ wykraczający poza okres wydatkowania dzięki akumulacji kapitału fizycznego, ludzkiego i organizacyjnego). Należy dążyć do wygładzenia względnej skali wydatkowania funduszy UE (ich relacji do PKB) – ich wydatkowanie na poziomie ok. 2-3% PKB umożliwiłoby stabilizację wpływu funduszy UE na gospodarkę w przekroju cyklu koniunkturalnego. Z tego względu zalecane jest utrzymanie wydatkowania na poziomie 2-3% PKB, gdyż będzie to miało pozytywny wpływ na gospodarkę. MFPiR Lepsza koordynacja procesu zastępowania środków jednej perspektywy finansowej przez kolejną, pozwalająca na uniknięcie „górek i dołków” wydatkowania. I kw. 2024 horyzontalna&#10;3 Środki UE sprawdziły się jako skuteczny instrument antykryzysowy w latach 2011-2014. Wydatkowanie środków KPO ma duże znaczenie dla wpływu funduszy UE na polską gospodarkę w latach 2023-2027 (2030). Należy doprowadzić do uzyskania refundacji środków KPO tak szybko, jak to tylko możliwe. Konieczne jest zaplanowanie projektów w taki sposób, by ich realizacja pozwalała na wykorzystanie pełnej puli środków KPO dedykowanych Polsce (także z części pożyczkowej) – pozwoli to zwiększyć oddziaływanie środków UE na polską gospodarkę i jej wskaźniki makroekonomiczne. MFiPR Opracowanie planów szybkiego wydatkowania środków KPO tak, by uniknąć ryzyka ich utraty przed zakończeniem ram czasowych dedykowanych dla Planu. I kw. 2024 horyzontalna&#10;4 Struktura wsparcia uwzględniająca podział na projekty wspierające akumulację kapitału fizycznego (infrastruktura, kapitał firm), ludzkiego oraz innowacje dobrze sprawdziła się w warunkach Polski w latach poprzednich, co jednak nie oznacza, że będzie dobrze odpowiadała potrzebom przyszłości. Zaleca się dokonanie weryfikacji ciężaru wydatkowania środków z priorytetów stricte infrastrukturalnych na cele silniej związane z akumulacją kapitału fizycznego i ludzkiego w gospodarce, co może lepiej odpowiadać potrzebom polskiej gospodarki po roku 2029. MFiPR Opracowanie analizy ex-ante oceniającej potrzeby rozwojowe Polski pod kątem przygotowywania priorytetów wydatkowych nowej perspektywy finansowej (IP, BSP, RZL oraz bardziej szczegółowe priorytety np. rola innowacji). I kw. 2024 horyzontalna&#10;5 Skala relatywnego wsparcia dla regionów Polski Wschodniej odpowiadała potrzebom i możliwościom absorpcyjnym tych regionów. Relatywnie małe zróżnicowanie wsparcia przypadającego na jednego mieszkańca przy dużym zróżnicowaniu wsparcia liczonego w odniesieniu do PKB było słusznym wyborem polskiej polityki publicznej. Należy dążyć do utrzymania w miarę jednolitego poziomu alokacji w przeliczeniu na mieszkańca przy zróżnicowanym wsparciu w odniesieniu do regionalnego PKB. MFiPR Opracowanie analizy ex-ante oceniającej potrzeby rozwojowe Polski pod kątem przygotowywania priorytetów wydatkowych nowej perspektywy finansowej (alokacja funduszy do poszczególnych regionów). I kw. 2024 horyzontalna&#10;"/>
      </w:tblPr>
      <w:tblGrid>
        <w:gridCol w:w="498"/>
        <w:gridCol w:w="4450"/>
        <w:gridCol w:w="3977"/>
        <w:gridCol w:w="1490"/>
        <w:gridCol w:w="2821"/>
        <w:gridCol w:w="1366"/>
        <w:gridCol w:w="1329"/>
      </w:tblGrid>
      <w:tr w:rsidR="00E2493E" w:rsidRPr="005C3719" w14:paraId="413023C5" w14:textId="77777777" w:rsidTr="00917386">
        <w:trPr>
          <w:trHeight w:val="417"/>
          <w:tblHeader/>
        </w:trPr>
        <w:tc>
          <w:tcPr>
            <w:tcW w:w="498" w:type="dxa"/>
            <w:shd w:val="clear" w:color="auto" w:fill="BFBFBF" w:themeFill="background1" w:themeFillShade="BF"/>
            <w:vAlign w:val="center"/>
            <w:hideMark/>
          </w:tcPr>
          <w:p w14:paraId="38D28DC0" w14:textId="77777777" w:rsidR="005D3293" w:rsidRPr="005C3719" w:rsidRDefault="005D3293" w:rsidP="00917386">
            <w:pPr>
              <w:jc w:val="left"/>
              <w:rPr>
                <w:rFonts w:ascii="Arial" w:hAnsi="Arial" w:cs="Arial"/>
                <w:lang w:eastAsia="pl-PL"/>
              </w:rPr>
            </w:pPr>
            <w:r w:rsidRPr="005C3719">
              <w:rPr>
                <w:rFonts w:ascii="Arial" w:hAnsi="Arial" w:cs="Arial"/>
                <w:b/>
                <w:bCs/>
                <w:lang w:eastAsia="pl-PL"/>
              </w:rPr>
              <w:t>Nr</w:t>
            </w:r>
          </w:p>
        </w:tc>
        <w:tc>
          <w:tcPr>
            <w:tcW w:w="4450" w:type="dxa"/>
            <w:shd w:val="clear" w:color="auto" w:fill="BFBFBF" w:themeFill="background1" w:themeFillShade="BF"/>
            <w:vAlign w:val="center"/>
            <w:hideMark/>
          </w:tcPr>
          <w:p w14:paraId="0094C410" w14:textId="77777777" w:rsidR="005D3293" w:rsidRPr="005C3719" w:rsidRDefault="005D3293" w:rsidP="00917386">
            <w:pPr>
              <w:jc w:val="left"/>
              <w:rPr>
                <w:rFonts w:ascii="Arial" w:hAnsi="Arial" w:cs="Arial"/>
                <w:lang w:eastAsia="pl-PL"/>
              </w:rPr>
            </w:pPr>
            <w:r w:rsidRPr="005C3719">
              <w:rPr>
                <w:rFonts w:ascii="Arial" w:hAnsi="Arial" w:cs="Arial"/>
                <w:b/>
                <w:bCs/>
                <w:lang w:eastAsia="pl-PL"/>
              </w:rPr>
              <w:t>Treść wniosku</w:t>
            </w:r>
          </w:p>
        </w:tc>
        <w:tc>
          <w:tcPr>
            <w:tcW w:w="3977" w:type="dxa"/>
            <w:shd w:val="clear" w:color="auto" w:fill="BFBFBF" w:themeFill="background1" w:themeFillShade="BF"/>
            <w:vAlign w:val="center"/>
            <w:hideMark/>
          </w:tcPr>
          <w:p w14:paraId="66324DF6" w14:textId="77777777" w:rsidR="005D3293" w:rsidRPr="005C3719" w:rsidRDefault="005D3293" w:rsidP="00917386">
            <w:pPr>
              <w:jc w:val="left"/>
              <w:rPr>
                <w:rFonts w:ascii="Arial" w:hAnsi="Arial" w:cs="Arial"/>
                <w:lang w:eastAsia="pl-PL"/>
              </w:rPr>
            </w:pPr>
            <w:r w:rsidRPr="005C3719">
              <w:rPr>
                <w:rFonts w:ascii="Arial" w:hAnsi="Arial" w:cs="Arial"/>
                <w:b/>
                <w:bCs/>
                <w:lang w:eastAsia="pl-PL"/>
              </w:rPr>
              <w:t>Treść rekomendacji</w:t>
            </w:r>
          </w:p>
        </w:tc>
        <w:tc>
          <w:tcPr>
            <w:tcW w:w="1490" w:type="dxa"/>
            <w:shd w:val="clear" w:color="auto" w:fill="BFBFBF" w:themeFill="background1" w:themeFillShade="BF"/>
            <w:vAlign w:val="center"/>
            <w:hideMark/>
          </w:tcPr>
          <w:p w14:paraId="32E5C065" w14:textId="77777777" w:rsidR="005D3293" w:rsidRPr="005C3719" w:rsidRDefault="005D3293" w:rsidP="00917386">
            <w:pPr>
              <w:jc w:val="left"/>
              <w:rPr>
                <w:rFonts w:ascii="Arial" w:hAnsi="Arial" w:cs="Arial"/>
                <w:lang w:eastAsia="pl-PL"/>
              </w:rPr>
            </w:pPr>
            <w:r w:rsidRPr="005C3719">
              <w:rPr>
                <w:rFonts w:ascii="Arial" w:hAnsi="Arial" w:cs="Arial"/>
                <w:b/>
                <w:bCs/>
                <w:lang w:eastAsia="pl-PL"/>
              </w:rPr>
              <w:t>Adresat rekomendacji</w:t>
            </w:r>
          </w:p>
        </w:tc>
        <w:tc>
          <w:tcPr>
            <w:tcW w:w="2821" w:type="dxa"/>
            <w:shd w:val="clear" w:color="auto" w:fill="BFBFBF" w:themeFill="background1" w:themeFillShade="BF"/>
            <w:vAlign w:val="center"/>
            <w:hideMark/>
          </w:tcPr>
          <w:p w14:paraId="3312A275" w14:textId="77777777" w:rsidR="005D3293" w:rsidRPr="005C3719" w:rsidRDefault="005D3293" w:rsidP="00917386">
            <w:pPr>
              <w:jc w:val="left"/>
              <w:rPr>
                <w:rFonts w:ascii="Arial" w:hAnsi="Arial" w:cs="Arial"/>
                <w:lang w:eastAsia="pl-PL"/>
              </w:rPr>
            </w:pPr>
            <w:r w:rsidRPr="005C3719">
              <w:rPr>
                <w:rFonts w:ascii="Arial" w:hAnsi="Arial" w:cs="Arial"/>
                <w:b/>
                <w:bCs/>
                <w:lang w:eastAsia="pl-PL"/>
              </w:rPr>
              <w:t>Sposób wdrożenia</w:t>
            </w:r>
          </w:p>
        </w:tc>
        <w:tc>
          <w:tcPr>
            <w:tcW w:w="1366" w:type="dxa"/>
            <w:shd w:val="clear" w:color="auto" w:fill="BFBFBF" w:themeFill="background1" w:themeFillShade="BF"/>
            <w:vAlign w:val="center"/>
            <w:hideMark/>
          </w:tcPr>
          <w:p w14:paraId="6CEF2C15" w14:textId="77777777" w:rsidR="005D3293" w:rsidRPr="005C3719" w:rsidRDefault="005D3293" w:rsidP="00917386">
            <w:pPr>
              <w:jc w:val="left"/>
              <w:rPr>
                <w:rFonts w:ascii="Arial" w:hAnsi="Arial" w:cs="Arial"/>
                <w:lang w:eastAsia="pl-PL"/>
              </w:rPr>
            </w:pPr>
            <w:r w:rsidRPr="005C3719">
              <w:rPr>
                <w:rFonts w:ascii="Arial" w:hAnsi="Arial" w:cs="Arial"/>
                <w:b/>
                <w:bCs/>
                <w:lang w:eastAsia="pl-PL"/>
              </w:rPr>
              <w:t xml:space="preserve">Termin wdrożenia </w:t>
            </w:r>
          </w:p>
        </w:tc>
        <w:tc>
          <w:tcPr>
            <w:tcW w:w="1329" w:type="dxa"/>
            <w:shd w:val="clear" w:color="auto" w:fill="BFBFBF" w:themeFill="background1" w:themeFillShade="BF"/>
            <w:tcMar>
              <w:top w:w="15" w:type="dxa"/>
              <w:left w:w="0" w:type="dxa"/>
              <w:bottom w:w="15" w:type="dxa"/>
              <w:right w:w="15" w:type="dxa"/>
            </w:tcMar>
            <w:hideMark/>
          </w:tcPr>
          <w:p w14:paraId="2E7B09B5" w14:textId="77777777" w:rsidR="005D3293" w:rsidRPr="005C3719" w:rsidRDefault="005D3293" w:rsidP="00917386">
            <w:pPr>
              <w:jc w:val="left"/>
              <w:rPr>
                <w:rFonts w:ascii="Arial" w:hAnsi="Arial" w:cs="Arial"/>
                <w:b/>
                <w:bCs/>
                <w:lang w:eastAsia="pl-PL"/>
              </w:rPr>
            </w:pPr>
            <w:r w:rsidRPr="005C3719">
              <w:rPr>
                <w:rFonts w:ascii="Arial" w:hAnsi="Arial" w:cs="Arial"/>
                <w:b/>
                <w:bCs/>
                <w:lang w:eastAsia="pl-PL"/>
              </w:rPr>
              <w:t>Klasa rekomendacji</w:t>
            </w:r>
          </w:p>
        </w:tc>
      </w:tr>
      <w:tr w:rsidR="00EF4149" w:rsidRPr="005C3719" w14:paraId="26B5AF81" w14:textId="77777777" w:rsidTr="00917386">
        <w:trPr>
          <w:trHeight w:val="55"/>
        </w:trPr>
        <w:tc>
          <w:tcPr>
            <w:tcW w:w="498" w:type="dxa"/>
            <w:shd w:val="clear" w:color="auto" w:fill="FFFFFF" w:themeFill="background1"/>
            <w:vAlign w:val="center"/>
            <w:hideMark/>
          </w:tcPr>
          <w:p w14:paraId="6ED90D30" w14:textId="77777777" w:rsidR="00EF4149" w:rsidRPr="005C3719" w:rsidRDefault="00EF4149" w:rsidP="00F15187">
            <w:pPr>
              <w:jc w:val="left"/>
              <w:rPr>
                <w:rFonts w:ascii="Arial" w:hAnsi="Arial" w:cs="Arial"/>
                <w:lang w:eastAsia="pl-PL"/>
              </w:rPr>
            </w:pPr>
            <w:r w:rsidRPr="005C3719">
              <w:rPr>
                <w:rFonts w:ascii="Arial" w:hAnsi="Arial" w:cs="Arial"/>
                <w:lang w:eastAsia="pl-PL"/>
              </w:rPr>
              <w:t>1.</w:t>
            </w:r>
          </w:p>
        </w:tc>
        <w:tc>
          <w:tcPr>
            <w:tcW w:w="4450" w:type="dxa"/>
            <w:shd w:val="clear" w:color="auto" w:fill="FFFFFF" w:themeFill="background1"/>
            <w:vAlign w:val="center"/>
          </w:tcPr>
          <w:p w14:paraId="5BFC428F" w14:textId="354DB2D0" w:rsidR="00EF4149" w:rsidRPr="005C3719" w:rsidRDefault="00EF4149" w:rsidP="00F15187">
            <w:pPr>
              <w:spacing w:line="276" w:lineRule="auto"/>
              <w:jc w:val="left"/>
              <w:rPr>
                <w:rFonts w:ascii="Arial" w:hAnsi="Arial" w:cs="Arial"/>
                <w:lang w:eastAsia="pl-PL"/>
              </w:rPr>
            </w:pPr>
            <w:r w:rsidRPr="005C3719">
              <w:rPr>
                <w:rFonts w:ascii="Arial" w:hAnsi="Arial" w:cs="Arial"/>
                <w:lang w:eastAsia="pl-PL"/>
              </w:rPr>
              <w:t xml:space="preserve">Wydatkowanie funduszy UE w dotychczasowej skali (ok. 3% PKB średniorocznie w latach 2004-2029) przekładało się na podobny co do skali wpływ na PKB per capita i konwergencję względem UE-27 (3-4 p.p.). Zmniejszenie względnej skali wsparcia po roku 2025 wiązać się będzie z utratą tego efektu. </w:t>
            </w:r>
          </w:p>
        </w:tc>
        <w:tc>
          <w:tcPr>
            <w:tcW w:w="3977" w:type="dxa"/>
            <w:shd w:val="clear" w:color="auto" w:fill="FFFFFF" w:themeFill="background1"/>
            <w:vAlign w:val="center"/>
          </w:tcPr>
          <w:p w14:paraId="19D542D6" w14:textId="4F11CDE3" w:rsidR="00EF4149" w:rsidRPr="005C3719" w:rsidRDefault="00EF4149" w:rsidP="00F15187">
            <w:pPr>
              <w:spacing w:line="276" w:lineRule="auto"/>
              <w:jc w:val="left"/>
              <w:rPr>
                <w:rFonts w:ascii="Arial" w:hAnsi="Arial" w:cs="Arial"/>
                <w:lang w:eastAsia="pl-PL"/>
              </w:rPr>
            </w:pPr>
            <w:r w:rsidRPr="005C3719">
              <w:rPr>
                <w:rFonts w:ascii="Arial" w:hAnsi="Arial" w:cs="Arial"/>
                <w:lang w:eastAsia="pl-PL"/>
              </w:rPr>
              <w:t>Negocjacje kolejnej perspektywy finansowej (2027+) powinny dążyć do utrzymania skali wsparcia w ramach polityki spójności i równoważnych jej rzeczowo instrumentów (np. w ramach PROW) na poziomie co najmniej 2% przyszłego PKB.</w:t>
            </w:r>
          </w:p>
        </w:tc>
        <w:tc>
          <w:tcPr>
            <w:tcW w:w="1490" w:type="dxa"/>
            <w:shd w:val="clear" w:color="auto" w:fill="FFFFFF" w:themeFill="background1"/>
            <w:vAlign w:val="center"/>
          </w:tcPr>
          <w:p w14:paraId="2571CBF5" w14:textId="05A42BBF" w:rsidR="00EF4149" w:rsidRPr="005C3719" w:rsidRDefault="00EF4149" w:rsidP="00F15187">
            <w:pPr>
              <w:spacing w:line="276" w:lineRule="auto"/>
              <w:jc w:val="left"/>
              <w:rPr>
                <w:rFonts w:ascii="Arial" w:hAnsi="Arial" w:cs="Arial"/>
                <w:lang w:eastAsia="pl-PL"/>
              </w:rPr>
            </w:pPr>
            <w:r w:rsidRPr="005C3719">
              <w:rPr>
                <w:rFonts w:ascii="Arial" w:hAnsi="Arial" w:cs="Arial"/>
                <w:lang w:eastAsia="pl-PL"/>
              </w:rPr>
              <w:t>MFiPR</w:t>
            </w:r>
            <w:r>
              <w:rPr>
                <w:rFonts w:ascii="Arial" w:hAnsi="Arial" w:cs="Arial"/>
                <w:lang w:eastAsia="pl-PL"/>
              </w:rPr>
              <w:t>/KPRM</w:t>
            </w:r>
          </w:p>
        </w:tc>
        <w:tc>
          <w:tcPr>
            <w:tcW w:w="2821" w:type="dxa"/>
            <w:shd w:val="clear" w:color="auto" w:fill="FFFFFF" w:themeFill="background1"/>
            <w:vAlign w:val="center"/>
          </w:tcPr>
          <w:p w14:paraId="72AFF9ED" w14:textId="25DC9297" w:rsidR="00EF4149" w:rsidRPr="005C3719" w:rsidRDefault="00EF4149" w:rsidP="00F15187">
            <w:pPr>
              <w:spacing w:line="276" w:lineRule="auto"/>
              <w:jc w:val="left"/>
              <w:rPr>
                <w:rFonts w:ascii="Arial" w:hAnsi="Arial" w:cs="Arial"/>
                <w:lang w:eastAsia="pl-PL"/>
              </w:rPr>
            </w:pPr>
            <w:r w:rsidRPr="005C3719">
              <w:rPr>
                <w:rFonts w:ascii="Arial" w:hAnsi="Arial" w:cs="Arial"/>
                <w:lang w:eastAsia="pl-PL"/>
              </w:rPr>
              <w:t>Wpisanie celu minimalnego 2% w polską strategię negocjacyjną nowej perspektywy finansowej UE</w:t>
            </w:r>
            <w:r>
              <w:rPr>
                <w:rFonts w:ascii="Arial" w:hAnsi="Arial" w:cs="Arial"/>
                <w:lang w:eastAsia="pl-PL"/>
              </w:rPr>
              <w:t xml:space="preserve"> (2027+)</w:t>
            </w:r>
          </w:p>
        </w:tc>
        <w:tc>
          <w:tcPr>
            <w:tcW w:w="1366" w:type="dxa"/>
            <w:shd w:val="clear" w:color="auto" w:fill="FFFFFF" w:themeFill="background1"/>
            <w:vAlign w:val="center"/>
          </w:tcPr>
          <w:p w14:paraId="6413E06C" w14:textId="79ADE2D3" w:rsidR="00EF4149" w:rsidRPr="005C3719" w:rsidRDefault="00EF4149" w:rsidP="00917386">
            <w:pPr>
              <w:spacing w:line="276" w:lineRule="auto"/>
              <w:jc w:val="left"/>
              <w:rPr>
                <w:rFonts w:ascii="Arial" w:hAnsi="Arial" w:cs="Arial"/>
                <w:lang w:eastAsia="pl-PL"/>
              </w:rPr>
            </w:pPr>
            <w:r w:rsidRPr="00637657">
              <w:rPr>
                <w:rFonts w:ascii="Arial" w:hAnsi="Arial" w:cs="Arial"/>
                <w:lang w:eastAsia="pl-PL"/>
              </w:rPr>
              <w:t>2025-2026</w:t>
            </w:r>
          </w:p>
        </w:tc>
        <w:tc>
          <w:tcPr>
            <w:tcW w:w="1329" w:type="dxa"/>
            <w:shd w:val="clear" w:color="auto" w:fill="FFFFFF" w:themeFill="background1"/>
            <w:tcMar>
              <w:top w:w="15" w:type="dxa"/>
              <w:left w:w="0" w:type="dxa"/>
              <w:bottom w:w="15" w:type="dxa"/>
              <w:right w:w="15" w:type="dxa"/>
            </w:tcMar>
            <w:vAlign w:val="center"/>
          </w:tcPr>
          <w:p w14:paraId="69957BA7" w14:textId="2E521A4C" w:rsidR="00EF4149" w:rsidRPr="005C3719" w:rsidRDefault="00EF4149" w:rsidP="00F15187">
            <w:pPr>
              <w:spacing w:line="276" w:lineRule="auto"/>
              <w:jc w:val="left"/>
              <w:rPr>
                <w:rFonts w:ascii="Arial" w:hAnsi="Arial" w:cs="Arial"/>
                <w:lang w:eastAsia="pl-PL"/>
              </w:rPr>
            </w:pPr>
            <w:r w:rsidRPr="005C3719">
              <w:rPr>
                <w:rFonts w:ascii="Arial" w:hAnsi="Arial" w:cs="Arial"/>
                <w:lang w:eastAsia="pl-PL"/>
              </w:rPr>
              <w:t>horyzontalna</w:t>
            </w:r>
          </w:p>
        </w:tc>
      </w:tr>
      <w:tr w:rsidR="00EF4149" w:rsidRPr="005C3719" w14:paraId="591D79F4" w14:textId="77777777" w:rsidTr="00917386">
        <w:trPr>
          <w:trHeight w:val="55"/>
        </w:trPr>
        <w:tc>
          <w:tcPr>
            <w:tcW w:w="498" w:type="dxa"/>
            <w:shd w:val="clear" w:color="auto" w:fill="FFFFFF" w:themeFill="background1"/>
            <w:vAlign w:val="center"/>
          </w:tcPr>
          <w:p w14:paraId="34B33E90" w14:textId="08E6FB1C" w:rsidR="00EF4149" w:rsidRPr="005C3719" w:rsidRDefault="00EF4149" w:rsidP="00F15187">
            <w:pPr>
              <w:jc w:val="left"/>
              <w:rPr>
                <w:rFonts w:ascii="Arial" w:hAnsi="Arial" w:cs="Arial"/>
                <w:lang w:eastAsia="pl-PL"/>
              </w:rPr>
            </w:pPr>
            <w:r w:rsidRPr="005C3719">
              <w:rPr>
                <w:rFonts w:ascii="Arial" w:hAnsi="Arial" w:cs="Arial"/>
                <w:lang w:eastAsia="pl-PL"/>
              </w:rPr>
              <w:t>2</w:t>
            </w:r>
          </w:p>
        </w:tc>
        <w:tc>
          <w:tcPr>
            <w:tcW w:w="4450" w:type="dxa"/>
            <w:shd w:val="clear" w:color="auto" w:fill="FFFFFF" w:themeFill="background1"/>
            <w:vAlign w:val="center"/>
          </w:tcPr>
          <w:p w14:paraId="5B73DE45" w14:textId="379C009F" w:rsidR="00EF4149" w:rsidRPr="005C3719" w:rsidRDefault="00EF4149" w:rsidP="00F15187">
            <w:pPr>
              <w:spacing w:line="276" w:lineRule="auto"/>
              <w:jc w:val="left"/>
              <w:rPr>
                <w:rFonts w:ascii="Arial" w:hAnsi="Arial" w:cs="Arial"/>
                <w:lang w:eastAsia="pl-PL"/>
              </w:rPr>
            </w:pPr>
            <w:r w:rsidRPr="005C3719">
              <w:rPr>
                <w:rFonts w:ascii="Arial" w:hAnsi="Arial" w:cs="Arial"/>
                <w:lang w:eastAsia="pl-PL"/>
              </w:rPr>
              <w:t>Siła wpływu funduszy UE na PKB i zatrudnienie była zależna od bieżącej skali wydatkowania tych funduszy, wahając się od ok. 1% nawet do 7% rocznie, na co składało się złożenie efektów popytowych (keynesowskich) z podażowymi (wpływ wykraczający poza okres wydatkowania dzięki akumulacji kapitału fizycznego, ludzkiego i organizacyjnego).</w:t>
            </w:r>
          </w:p>
        </w:tc>
        <w:tc>
          <w:tcPr>
            <w:tcW w:w="3977" w:type="dxa"/>
            <w:shd w:val="clear" w:color="auto" w:fill="FFFFFF" w:themeFill="background1"/>
            <w:vAlign w:val="center"/>
          </w:tcPr>
          <w:p w14:paraId="0722F39B" w14:textId="5751F28A" w:rsidR="00EF4149" w:rsidRPr="005C3719" w:rsidRDefault="00EF4149" w:rsidP="00F15187">
            <w:pPr>
              <w:spacing w:line="276" w:lineRule="auto"/>
              <w:jc w:val="left"/>
              <w:rPr>
                <w:rFonts w:ascii="Arial" w:hAnsi="Arial" w:cs="Arial"/>
                <w:lang w:eastAsia="pl-PL"/>
              </w:rPr>
            </w:pPr>
            <w:r w:rsidRPr="005C3719">
              <w:rPr>
                <w:rFonts w:ascii="Arial" w:hAnsi="Arial" w:cs="Arial"/>
                <w:lang w:eastAsia="pl-PL"/>
              </w:rPr>
              <w:t>Należy dążyć do wygładzenia względnej skali wydatkowania funduszy UE (ich relacji do PKB) – ich wydatkowanie na poziomie ok. 2-3% PKB umożliwiłoby stabilizację wpływu funduszy UE na gospodarkę w przekroju cyklu koniunkturalnego. Z tego względu zalecane jest utrzymanie wydatkowania na poziomie 2-3% PKB, gdyż będzie to miało pozytywny wpływ na gospodarkę.</w:t>
            </w:r>
          </w:p>
        </w:tc>
        <w:tc>
          <w:tcPr>
            <w:tcW w:w="1490" w:type="dxa"/>
            <w:shd w:val="clear" w:color="auto" w:fill="FFFFFF" w:themeFill="background1"/>
            <w:vAlign w:val="center"/>
          </w:tcPr>
          <w:p w14:paraId="62E8426B" w14:textId="5E39D70F" w:rsidR="00EF4149" w:rsidRPr="005C3719" w:rsidRDefault="006A26DD" w:rsidP="00F15187">
            <w:pPr>
              <w:spacing w:line="276" w:lineRule="auto"/>
              <w:jc w:val="left"/>
              <w:rPr>
                <w:rFonts w:ascii="Arial" w:hAnsi="Arial" w:cs="Arial"/>
                <w:lang w:eastAsia="pl-PL"/>
              </w:rPr>
            </w:pPr>
            <w:r>
              <w:rPr>
                <w:rFonts w:ascii="Arial" w:hAnsi="Arial" w:cs="Arial"/>
                <w:lang w:eastAsia="pl-PL"/>
              </w:rPr>
              <w:t>MFiPR</w:t>
            </w:r>
          </w:p>
        </w:tc>
        <w:tc>
          <w:tcPr>
            <w:tcW w:w="2821" w:type="dxa"/>
            <w:shd w:val="clear" w:color="auto" w:fill="FFFFFF" w:themeFill="background1"/>
            <w:vAlign w:val="center"/>
          </w:tcPr>
          <w:p w14:paraId="0348FD28" w14:textId="1CE6D31C" w:rsidR="00EF4149" w:rsidRPr="005C3719" w:rsidRDefault="005328CF" w:rsidP="00F15187">
            <w:pPr>
              <w:spacing w:line="276" w:lineRule="auto"/>
              <w:jc w:val="left"/>
              <w:rPr>
                <w:rFonts w:ascii="Arial" w:hAnsi="Arial" w:cs="Arial"/>
                <w:lang w:eastAsia="pl-PL"/>
              </w:rPr>
            </w:pPr>
            <w:r w:rsidRPr="005328CF">
              <w:rPr>
                <w:rFonts w:ascii="Arial" w:hAnsi="Arial" w:cs="Arial"/>
                <w:lang w:eastAsia="pl-PL"/>
              </w:rPr>
              <w:t>Niezbędne jest zachowanie ciągłości wsparcia w celu osiągnięcia najlepszych efektów realizowanych i zaplanowanych inwestycji. Wiąże się to z koniecznością podjęcia uzgodnień pomiędzy KE, krajem członkowskim i regionami wcześniej niż zostało to przyjęte w PF 2021-2027. Istotne jest wypracowanie kierunków działań, w tym opracowanie właściwych przepisów i in. dokumentów na wcześniejszym etapie co umożliwi</w:t>
            </w:r>
            <w:r w:rsidR="001D17CF">
              <w:rPr>
                <w:rFonts w:ascii="Arial" w:hAnsi="Arial" w:cs="Arial"/>
                <w:lang w:eastAsia="pl-PL"/>
              </w:rPr>
              <w:t xml:space="preserve"> </w:t>
            </w:r>
            <w:r w:rsidRPr="005328CF">
              <w:rPr>
                <w:rFonts w:ascii="Arial" w:hAnsi="Arial" w:cs="Arial"/>
                <w:lang w:eastAsia="pl-PL"/>
              </w:rPr>
              <w:t xml:space="preserve">sprawne zaprogramowanie i uruchomienie działań na </w:t>
            </w:r>
            <w:r w:rsidRPr="005328CF">
              <w:rPr>
                <w:rFonts w:ascii="Arial" w:hAnsi="Arial" w:cs="Arial"/>
                <w:lang w:eastAsia="pl-PL"/>
              </w:rPr>
              <w:lastRenderedPageBreak/>
              <w:t>poziomie krajowym i regionalnym.</w:t>
            </w:r>
          </w:p>
        </w:tc>
        <w:tc>
          <w:tcPr>
            <w:tcW w:w="1366" w:type="dxa"/>
            <w:shd w:val="clear" w:color="auto" w:fill="FFFFFF" w:themeFill="background1"/>
            <w:vAlign w:val="center"/>
          </w:tcPr>
          <w:p w14:paraId="2224ABCB" w14:textId="1E9569AC" w:rsidR="00EF4149" w:rsidRPr="005C3719" w:rsidRDefault="00EF4149" w:rsidP="00917386">
            <w:pPr>
              <w:spacing w:line="276" w:lineRule="auto"/>
              <w:jc w:val="left"/>
              <w:rPr>
                <w:rFonts w:ascii="Arial" w:hAnsi="Arial" w:cs="Arial"/>
                <w:lang w:eastAsia="pl-PL"/>
              </w:rPr>
            </w:pPr>
            <w:r w:rsidRPr="00637657">
              <w:rPr>
                <w:rFonts w:ascii="Arial" w:hAnsi="Arial" w:cs="Arial"/>
                <w:lang w:eastAsia="pl-PL"/>
              </w:rPr>
              <w:lastRenderedPageBreak/>
              <w:t>2025-2026</w:t>
            </w:r>
          </w:p>
        </w:tc>
        <w:tc>
          <w:tcPr>
            <w:tcW w:w="1329" w:type="dxa"/>
            <w:shd w:val="clear" w:color="auto" w:fill="FFFFFF" w:themeFill="background1"/>
            <w:tcMar>
              <w:top w:w="15" w:type="dxa"/>
              <w:left w:w="0" w:type="dxa"/>
              <w:bottom w:w="15" w:type="dxa"/>
              <w:right w:w="15" w:type="dxa"/>
            </w:tcMar>
            <w:vAlign w:val="center"/>
          </w:tcPr>
          <w:p w14:paraId="73DF506E" w14:textId="6CD57FA1" w:rsidR="00EF4149" w:rsidRPr="005C3719" w:rsidRDefault="00EF4149" w:rsidP="00F15187">
            <w:pPr>
              <w:spacing w:line="276" w:lineRule="auto"/>
              <w:jc w:val="left"/>
              <w:rPr>
                <w:rFonts w:ascii="Arial" w:eastAsia="Calibri" w:hAnsi="Arial" w:cs="Arial"/>
              </w:rPr>
            </w:pPr>
            <w:r w:rsidRPr="005C3719">
              <w:rPr>
                <w:rFonts w:ascii="Arial" w:hAnsi="Arial" w:cs="Arial"/>
                <w:lang w:eastAsia="pl-PL"/>
              </w:rPr>
              <w:t>horyzontalna</w:t>
            </w:r>
          </w:p>
        </w:tc>
      </w:tr>
      <w:tr w:rsidR="00E2493E" w:rsidRPr="005C3719" w14:paraId="28F206D2" w14:textId="77777777" w:rsidTr="00917386">
        <w:trPr>
          <w:trHeight w:val="55"/>
        </w:trPr>
        <w:tc>
          <w:tcPr>
            <w:tcW w:w="498" w:type="dxa"/>
            <w:shd w:val="clear" w:color="auto" w:fill="FFFFFF" w:themeFill="background1"/>
            <w:vAlign w:val="center"/>
          </w:tcPr>
          <w:p w14:paraId="68281994" w14:textId="203C10E7" w:rsidR="00F209D2" w:rsidRPr="005C3719" w:rsidRDefault="00F209D2" w:rsidP="00F15187">
            <w:pPr>
              <w:jc w:val="left"/>
              <w:rPr>
                <w:rFonts w:ascii="Arial" w:hAnsi="Arial" w:cs="Arial"/>
                <w:lang w:eastAsia="pl-PL"/>
              </w:rPr>
            </w:pPr>
            <w:r w:rsidRPr="005C3719">
              <w:rPr>
                <w:rFonts w:ascii="Arial" w:hAnsi="Arial" w:cs="Arial"/>
                <w:lang w:eastAsia="pl-PL"/>
              </w:rPr>
              <w:t>3</w:t>
            </w:r>
          </w:p>
        </w:tc>
        <w:tc>
          <w:tcPr>
            <w:tcW w:w="4450" w:type="dxa"/>
            <w:shd w:val="clear" w:color="auto" w:fill="FFFFFF" w:themeFill="background1"/>
            <w:vAlign w:val="center"/>
          </w:tcPr>
          <w:p w14:paraId="656A2A51" w14:textId="5D092B1C" w:rsidR="00F209D2" w:rsidRPr="005C3719" w:rsidRDefault="00F209D2" w:rsidP="00F15187">
            <w:pPr>
              <w:spacing w:line="276" w:lineRule="auto"/>
              <w:jc w:val="left"/>
              <w:rPr>
                <w:rFonts w:ascii="Arial" w:hAnsi="Arial" w:cs="Arial"/>
                <w:lang w:eastAsia="pl-PL"/>
              </w:rPr>
            </w:pPr>
            <w:r w:rsidRPr="005C3719">
              <w:rPr>
                <w:rFonts w:ascii="Arial" w:hAnsi="Arial" w:cs="Arial"/>
                <w:lang w:eastAsia="pl-PL"/>
              </w:rPr>
              <w:t>Środki UE sprawdziły się jako skuteczny instrument antykryzysowy w latach 2011-2014. Wydatkowanie środków KPO ma duże znaczenie dla wpływu funduszy UE na polską gospodarkę w latach 202</w:t>
            </w:r>
            <w:r w:rsidR="00E2493E">
              <w:rPr>
                <w:rFonts w:ascii="Arial" w:hAnsi="Arial" w:cs="Arial"/>
                <w:lang w:eastAsia="pl-PL"/>
              </w:rPr>
              <w:t>4</w:t>
            </w:r>
            <w:r w:rsidRPr="005C3719">
              <w:rPr>
                <w:rFonts w:ascii="Arial" w:hAnsi="Arial" w:cs="Arial"/>
                <w:lang w:eastAsia="pl-PL"/>
              </w:rPr>
              <w:t>-2027 (2030)</w:t>
            </w:r>
            <w:r w:rsidR="00E2493E">
              <w:rPr>
                <w:rFonts w:ascii="Arial" w:hAnsi="Arial" w:cs="Arial"/>
                <w:lang w:eastAsia="pl-PL"/>
              </w:rPr>
              <w:t xml:space="preserve"> jednak ich opóźnienie wywołać może – potencjalnie niekorzystne – efekty kumulacji wsparcia</w:t>
            </w:r>
            <w:r w:rsidRPr="005C3719">
              <w:rPr>
                <w:rFonts w:ascii="Arial" w:hAnsi="Arial" w:cs="Arial"/>
                <w:lang w:eastAsia="pl-PL"/>
              </w:rPr>
              <w:t>.</w:t>
            </w:r>
          </w:p>
        </w:tc>
        <w:tc>
          <w:tcPr>
            <w:tcW w:w="3977" w:type="dxa"/>
            <w:shd w:val="clear" w:color="auto" w:fill="FFFFFF" w:themeFill="background1"/>
            <w:vAlign w:val="center"/>
          </w:tcPr>
          <w:p w14:paraId="34E64051" w14:textId="072CCF22" w:rsidR="00F209D2" w:rsidRPr="005C3719" w:rsidRDefault="00F209D2" w:rsidP="00F15187">
            <w:pPr>
              <w:spacing w:line="276" w:lineRule="auto"/>
              <w:jc w:val="left"/>
              <w:rPr>
                <w:rFonts w:ascii="Arial" w:hAnsi="Arial" w:cs="Arial"/>
                <w:lang w:eastAsia="pl-PL"/>
              </w:rPr>
            </w:pPr>
            <w:r w:rsidRPr="005C3719">
              <w:rPr>
                <w:rFonts w:ascii="Arial" w:hAnsi="Arial" w:cs="Arial"/>
                <w:lang w:eastAsia="pl-PL"/>
              </w:rPr>
              <w:t xml:space="preserve">Należy doprowadzić do </w:t>
            </w:r>
            <w:r w:rsidR="00E2493E">
              <w:rPr>
                <w:rFonts w:ascii="Arial" w:hAnsi="Arial" w:cs="Arial"/>
                <w:lang w:eastAsia="pl-PL"/>
              </w:rPr>
              <w:t xml:space="preserve">skutecznego wydatkowania </w:t>
            </w:r>
            <w:r w:rsidRPr="005C3719">
              <w:rPr>
                <w:rFonts w:ascii="Arial" w:hAnsi="Arial" w:cs="Arial"/>
                <w:lang w:eastAsia="pl-PL"/>
              </w:rPr>
              <w:t xml:space="preserve">środków KPO. Konieczne jest </w:t>
            </w:r>
            <w:r w:rsidR="00E2493E">
              <w:rPr>
                <w:rFonts w:ascii="Arial" w:hAnsi="Arial" w:cs="Arial"/>
                <w:lang w:eastAsia="pl-PL"/>
              </w:rPr>
              <w:t xml:space="preserve">szybkie przejście od fazy negocjacji i planowania do faktycznej </w:t>
            </w:r>
            <w:r w:rsidR="006C471E" w:rsidRPr="005C3719">
              <w:rPr>
                <w:rFonts w:ascii="Arial" w:hAnsi="Arial" w:cs="Arial"/>
                <w:lang w:eastAsia="pl-PL"/>
              </w:rPr>
              <w:t>realizacj</w:t>
            </w:r>
            <w:r w:rsidR="00E2493E">
              <w:rPr>
                <w:rFonts w:ascii="Arial" w:hAnsi="Arial" w:cs="Arial"/>
                <w:lang w:eastAsia="pl-PL"/>
              </w:rPr>
              <w:t>i tak by</w:t>
            </w:r>
            <w:r w:rsidR="006C471E" w:rsidRPr="005C3719">
              <w:rPr>
                <w:rFonts w:ascii="Arial" w:hAnsi="Arial" w:cs="Arial"/>
                <w:lang w:eastAsia="pl-PL"/>
              </w:rPr>
              <w:t xml:space="preserve"> wykorzystanie</w:t>
            </w:r>
            <w:r w:rsidRPr="005C3719">
              <w:rPr>
                <w:rFonts w:ascii="Arial" w:hAnsi="Arial" w:cs="Arial"/>
                <w:lang w:eastAsia="pl-PL"/>
              </w:rPr>
              <w:t xml:space="preserve"> pełn</w:t>
            </w:r>
            <w:r w:rsidR="006C471E" w:rsidRPr="005C3719">
              <w:rPr>
                <w:rFonts w:ascii="Arial" w:hAnsi="Arial" w:cs="Arial"/>
                <w:lang w:eastAsia="pl-PL"/>
              </w:rPr>
              <w:t>ej</w:t>
            </w:r>
            <w:r w:rsidRPr="005C3719">
              <w:rPr>
                <w:rFonts w:ascii="Arial" w:hAnsi="Arial" w:cs="Arial"/>
                <w:lang w:eastAsia="pl-PL"/>
              </w:rPr>
              <w:t xml:space="preserve"> pul</w:t>
            </w:r>
            <w:r w:rsidR="006C471E" w:rsidRPr="005C3719">
              <w:rPr>
                <w:rFonts w:ascii="Arial" w:hAnsi="Arial" w:cs="Arial"/>
                <w:lang w:eastAsia="pl-PL"/>
              </w:rPr>
              <w:t>i</w:t>
            </w:r>
            <w:r w:rsidRPr="005C3719">
              <w:rPr>
                <w:rFonts w:ascii="Arial" w:hAnsi="Arial" w:cs="Arial"/>
                <w:lang w:eastAsia="pl-PL"/>
              </w:rPr>
              <w:t xml:space="preserve"> środków KPO dedykowanych Polsce (także z części pożyczkowej) </w:t>
            </w:r>
            <w:r w:rsidR="00E2493E">
              <w:rPr>
                <w:rFonts w:ascii="Arial" w:hAnsi="Arial" w:cs="Arial"/>
                <w:lang w:eastAsia="pl-PL"/>
              </w:rPr>
              <w:t xml:space="preserve">było możliwe w krótkim – założonym w badaniu – czasie. </w:t>
            </w:r>
          </w:p>
        </w:tc>
        <w:tc>
          <w:tcPr>
            <w:tcW w:w="1490" w:type="dxa"/>
            <w:shd w:val="clear" w:color="auto" w:fill="FFFFFF" w:themeFill="background1"/>
            <w:vAlign w:val="center"/>
          </w:tcPr>
          <w:p w14:paraId="003E2392" w14:textId="53B06B73" w:rsidR="00F209D2" w:rsidRPr="005C3719" w:rsidRDefault="00F209D2" w:rsidP="00F15187">
            <w:pPr>
              <w:spacing w:line="276" w:lineRule="auto"/>
              <w:jc w:val="left"/>
              <w:rPr>
                <w:rFonts w:ascii="Arial" w:hAnsi="Arial" w:cs="Arial"/>
                <w:lang w:eastAsia="pl-PL"/>
              </w:rPr>
            </w:pPr>
            <w:r w:rsidRPr="005C3719">
              <w:rPr>
                <w:rFonts w:ascii="Arial" w:hAnsi="Arial" w:cs="Arial"/>
                <w:lang w:eastAsia="pl-PL"/>
              </w:rPr>
              <w:t>MFiPR</w:t>
            </w:r>
          </w:p>
        </w:tc>
        <w:tc>
          <w:tcPr>
            <w:tcW w:w="2821" w:type="dxa"/>
            <w:shd w:val="clear" w:color="auto" w:fill="FFFFFF" w:themeFill="background1"/>
            <w:vAlign w:val="center"/>
          </w:tcPr>
          <w:p w14:paraId="6AE737BB" w14:textId="71980C46" w:rsidR="00F209D2" w:rsidRPr="005C3719" w:rsidRDefault="00E2493E" w:rsidP="00F15187">
            <w:pPr>
              <w:spacing w:line="276" w:lineRule="auto"/>
              <w:jc w:val="left"/>
              <w:rPr>
                <w:rFonts w:ascii="Arial" w:hAnsi="Arial" w:cs="Arial"/>
                <w:lang w:eastAsia="pl-PL"/>
              </w:rPr>
            </w:pPr>
            <w:r>
              <w:rPr>
                <w:rFonts w:ascii="Arial" w:hAnsi="Arial" w:cs="Arial"/>
                <w:lang w:eastAsia="pl-PL"/>
              </w:rPr>
              <w:t xml:space="preserve">Skuteczne wdrażanie </w:t>
            </w:r>
            <w:r w:rsidR="00F209D2" w:rsidRPr="005C3719">
              <w:rPr>
                <w:rFonts w:ascii="Arial" w:hAnsi="Arial" w:cs="Arial"/>
                <w:lang w:eastAsia="pl-PL"/>
              </w:rPr>
              <w:t>planów szybkiego wydatkowania środków KPO tak, by uniknąć ryzyka ich utraty przed zakończeniem ram czasowych dedykowanych dla Planu.</w:t>
            </w:r>
          </w:p>
        </w:tc>
        <w:tc>
          <w:tcPr>
            <w:tcW w:w="1366" w:type="dxa"/>
            <w:shd w:val="clear" w:color="auto" w:fill="FFFFFF" w:themeFill="background1"/>
            <w:vAlign w:val="center"/>
          </w:tcPr>
          <w:p w14:paraId="4351FAC5" w14:textId="22FCD37D" w:rsidR="00F209D2" w:rsidRPr="005C3719" w:rsidRDefault="00F209D2" w:rsidP="00917386">
            <w:pPr>
              <w:spacing w:line="276" w:lineRule="auto"/>
              <w:jc w:val="left"/>
              <w:rPr>
                <w:rFonts w:ascii="Arial" w:hAnsi="Arial" w:cs="Arial"/>
                <w:lang w:eastAsia="pl-PL"/>
              </w:rPr>
            </w:pPr>
            <w:r w:rsidRPr="005C3719">
              <w:rPr>
                <w:rFonts w:ascii="Arial" w:hAnsi="Arial" w:cs="Arial"/>
                <w:lang w:eastAsia="pl-PL"/>
              </w:rPr>
              <w:t>202</w:t>
            </w:r>
            <w:r w:rsidR="00EF4149">
              <w:rPr>
                <w:rFonts w:ascii="Arial" w:hAnsi="Arial" w:cs="Arial"/>
                <w:lang w:eastAsia="pl-PL"/>
              </w:rPr>
              <w:t>5</w:t>
            </w:r>
            <w:r w:rsidR="00E2493E">
              <w:rPr>
                <w:rFonts w:ascii="Arial" w:hAnsi="Arial" w:cs="Arial"/>
                <w:lang w:eastAsia="pl-PL"/>
              </w:rPr>
              <w:t>-2026</w:t>
            </w:r>
          </w:p>
        </w:tc>
        <w:tc>
          <w:tcPr>
            <w:tcW w:w="1329" w:type="dxa"/>
            <w:shd w:val="clear" w:color="auto" w:fill="FFFFFF" w:themeFill="background1"/>
            <w:tcMar>
              <w:top w:w="15" w:type="dxa"/>
              <w:left w:w="0" w:type="dxa"/>
              <w:bottom w:w="15" w:type="dxa"/>
              <w:right w:w="15" w:type="dxa"/>
            </w:tcMar>
            <w:vAlign w:val="center"/>
          </w:tcPr>
          <w:p w14:paraId="3B0E26C4" w14:textId="0B6A27F5" w:rsidR="00F209D2" w:rsidRPr="005C3719" w:rsidRDefault="00F209D2" w:rsidP="00F15187">
            <w:pPr>
              <w:spacing w:line="276" w:lineRule="auto"/>
              <w:jc w:val="left"/>
              <w:rPr>
                <w:rFonts w:ascii="Arial" w:eastAsia="Calibri" w:hAnsi="Arial" w:cs="Arial"/>
              </w:rPr>
            </w:pPr>
            <w:r w:rsidRPr="005C3719">
              <w:rPr>
                <w:rFonts w:ascii="Arial" w:hAnsi="Arial" w:cs="Arial"/>
                <w:lang w:eastAsia="pl-PL"/>
              </w:rPr>
              <w:t>horyzontalna</w:t>
            </w:r>
          </w:p>
        </w:tc>
      </w:tr>
      <w:tr w:rsidR="00EF4149" w:rsidRPr="005C3719" w14:paraId="134CCA38" w14:textId="77777777" w:rsidTr="00917386">
        <w:trPr>
          <w:trHeight w:val="55"/>
        </w:trPr>
        <w:tc>
          <w:tcPr>
            <w:tcW w:w="498" w:type="dxa"/>
            <w:shd w:val="clear" w:color="auto" w:fill="FFFFFF" w:themeFill="background1"/>
            <w:vAlign w:val="center"/>
          </w:tcPr>
          <w:p w14:paraId="4B041238" w14:textId="3B613C72" w:rsidR="00EF4149" w:rsidRPr="005C3719" w:rsidRDefault="00EF4149" w:rsidP="00F15187">
            <w:pPr>
              <w:jc w:val="left"/>
              <w:rPr>
                <w:rFonts w:ascii="Arial" w:hAnsi="Arial" w:cs="Arial"/>
                <w:lang w:eastAsia="pl-PL"/>
              </w:rPr>
            </w:pPr>
            <w:r w:rsidRPr="005C3719">
              <w:rPr>
                <w:rFonts w:ascii="Arial" w:hAnsi="Arial" w:cs="Arial"/>
                <w:lang w:eastAsia="pl-PL"/>
              </w:rPr>
              <w:t>4</w:t>
            </w:r>
          </w:p>
        </w:tc>
        <w:tc>
          <w:tcPr>
            <w:tcW w:w="4450" w:type="dxa"/>
            <w:shd w:val="clear" w:color="auto" w:fill="FFFFFF" w:themeFill="background1"/>
            <w:vAlign w:val="center"/>
          </w:tcPr>
          <w:p w14:paraId="763BD6A4" w14:textId="5FCE7E6B" w:rsidR="00EF4149" w:rsidRPr="005C3719" w:rsidRDefault="00EF4149" w:rsidP="00F15187">
            <w:pPr>
              <w:spacing w:line="276" w:lineRule="auto"/>
              <w:jc w:val="left"/>
              <w:rPr>
                <w:rFonts w:ascii="Arial" w:hAnsi="Arial" w:cs="Arial"/>
                <w:lang w:eastAsia="pl-PL"/>
              </w:rPr>
            </w:pPr>
            <w:r w:rsidRPr="005C3719">
              <w:rPr>
                <w:rFonts w:ascii="Arial" w:hAnsi="Arial" w:cs="Arial"/>
                <w:lang w:eastAsia="pl-PL"/>
              </w:rPr>
              <w:t xml:space="preserve">Struktura wsparcia uwzględniająca podział na projekty wspierające akumulację kapitału fizycznego (infrastruktura, kapitał firm), ludzkiego oraz innowacje dobrze sprawdziła się w warunkach Polski w latach poprzednich, co jednak nie oznacza, że będzie dobrze odpowiadała potrzebom </w:t>
            </w:r>
            <w:r w:rsidR="00D9627C">
              <w:rPr>
                <w:rFonts w:ascii="Arial" w:hAnsi="Arial" w:cs="Arial"/>
                <w:lang w:eastAsia="pl-PL"/>
              </w:rPr>
              <w:t xml:space="preserve">w </w:t>
            </w:r>
            <w:r w:rsidRPr="005C3719">
              <w:rPr>
                <w:rFonts w:ascii="Arial" w:hAnsi="Arial" w:cs="Arial"/>
                <w:lang w:eastAsia="pl-PL"/>
              </w:rPr>
              <w:t>przyszłości.</w:t>
            </w:r>
          </w:p>
        </w:tc>
        <w:tc>
          <w:tcPr>
            <w:tcW w:w="3977" w:type="dxa"/>
            <w:shd w:val="clear" w:color="auto" w:fill="FFFFFF" w:themeFill="background1"/>
            <w:vAlign w:val="center"/>
          </w:tcPr>
          <w:p w14:paraId="70A64BC9" w14:textId="787028AC" w:rsidR="00EF4149" w:rsidRPr="005C3719" w:rsidRDefault="00EF4149" w:rsidP="00F15187">
            <w:pPr>
              <w:spacing w:line="276" w:lineRule="auto"/>
              <w:jc w:val="left"/>
              <w:rPr>
                <w:rFonts w:ascii="Arial" w:hAnsi="Arial" w:cs="Arial"/>
                <w:lang w:eastAsia="pl-PL"/>
              </w:rPr>
            </w:pPr>
            <w:r w:rsidRPr="005C3719">
              <w:rPr>
                <w:rFonts w:ascii="Arial" w:hAnsi="Arial" w:cs="Arial"/>
                <w:lang w:eastAsia="pl-PL"/>
              </w:rPr>
              <w:t>Zaleca się dokonanie weryfikacji ciężaru wydatkowania środków z priorytetów stricte infrastrukturalnych na cele silniej związane z akumulacją kapitału fizycznego i ludzkiego w gospodarce, co może lepiej odpowiadać potrzebom polskiej gospodarki po roku 2029.</w:t>
            </w:r>
          </w:p>
        </w:tc>
        <w:tc>
          <w:tcPr>
            <w:tcW w:w="1490" w:type="dxa"/>
            <w:shd w:val="clear" w:color="auto" w:fill="FFFFFF" w:themeFill="background1"/>
            <w:vAlign w:val="center"/>
          </w:tcPr>
          <w:p w14:paraId="36B641C0" w14:textId="2E4F7D25" w:rsidR="00EF4149" w:rsidRPr="005C3719" w:rsidRDefault="00EF4149" w:rsidP="00F15187">
            <w:pPr>
              <w:spacing w:line="276" w:lineRule="auto"/>
              <w:jc w:val="left"/>
              <w:rPr>
                <w:rFonts w:ascii="Arial" w:hAnsi="Arial" w:cs="Arial"/>
                <w:lang w:eastAsia="pl-PL"/>
              </w:rPr>
            </w:pPr>
            <w:r w:rsidRPr="005C3719">
              <w:rPr>
                <w:rFonts w:ascii="Arial" w:hAnsi="Arial" w:cs="Arial"/>
                <w:lang w:eastAsia="pl-PL"/>
              </w:rPr>
              <w:t>MFiPR</w:t>
            </w:r>
          </w:p>
        </w:tc>
        <w:tc>
          <w:tcPr>
            <w:tcW w:w="2821" w:type="dxa"/>
            <w:shd w:val="clear" w:color="auto" w:fill="FFFFFF" w:themeFill="background1"/>
            <w:vAlign w:val="center"/>
          </w:tcPr>
          <w:p w14:paraId="0905339A" w14:textId="01D54866" w:rsidR="00EF4149" w:rsidRPr="005C3719" w:rsidRDefault="00EF4149" w:rsidP="00F15187">
            <w:pPr>
              <w:spacing w:line="276" w:lineRule="auto"/>
              <w:jc w:val="left"/>
              <w:rPr>
                <w:rFonts w:ascii="Arial" w:hAnsi="Arial" w:cs="Arial"/>
                <w:lang w:eastAsia="pl-PL"/>
              </w:rPr>
            </w:pPr>
            <w:r w:rsidRPr="005C3719">
              <w:rPr>
                <w:rFonts w:ascii="Arial" w:hAnsi="Arial" w:cs="Arial"/>
                <w:lang w:eastAsia="pl-PL"/>
              </w:rPr>
              <w:t xml:space="preserve">Opracowanie analizy ex-ante oceniającej potrzeby rozwojowe Polski pod kątem przygotowywania priorytetów wydatkowych nowej perspektywy </w:t>
            </w:r>
            <w:r w:rsidRPr="000F3F4B">
              <w:rPr>
                <w:rFonts w:ascii="Arial" w:hAnsi="Arial" w:cs="Arial"/>
                <w:lang w:eastAsia="pl-PL"/>
              </w:rPr>
              <w:t>finansowej (</w:t>
            </w:r>
            <w:r w:rsidRPr="000F3F4B">
              <w:rPr>
                <w:rFonts w:ascii="Arial" w:hAnsi="Arial"/>
              </w:rPr>
              <w:t>IP, BSP</w:t>
            </w:r>
            <w:r w:rsidRPr="000F3F4B">
              <w:rPr>
                <w:rFonts w:ascii="Arial" w:hAnsi="Arial" w:cs="Arial"/>
                <w:lang w:eastAsia="pl-PL"/>
              </w:rPr>
              <w:t>, RZL oraz bardziej</w:t>
            </w:r>
            <w:r w:rsidRPr="005C3719">
              <w:rPr>
                <w:rFonts w:ascii="Arial" w:hAnsi="Arial" w:cs="Arial"/>
                <w:lang w:eastAsia="pl-PL"/>
              </w:rPr>
              <w:t xml:space="preserve"> szczegółowe priorytety np. rola innowacji).</w:t>
            </w:r>
          </w:p>
        </w:tc>
        <w:tc>
          <w:tcPr>
            <w:tcW w:w="1366" w:type="dxa"/>
            <w:shd w:val="clear" w:color="auto" w:fill="FFFFFF" w:themeFill="background1"/>
            <w:vAlign w:val="center"/>
          </w:tcPr>
          <w:p w14:paraId="27994E0C" w14:textId="575A009A" w:rsidR="00EF4149" w:rsidRPr="005C3719" w:rsidRDefault="00EF4149" w:rsidP="00917386">
            <w:pPr>
              <w:spacing w:line="276" w:lineRule="auto"/>
              <w:jc w:val="left"/>
              <w:rPr>
                <w:rFonts w:ascii="Arial" w:hAnsi="Arial" w:cs="Arial"/>
                <w:lang w:eastAsia="pl-PL"/>
              </w:rPr>
            </w:pPr>
            <w:r w:rsidRPr="00D57F05">
              <w:rPr>
                <w:rFonts w:ascii="Arial" w:hAnsi="Arial" w:cs="Arial"/>
                <w:lang w:eastAsia="pl-PL"/>
              </w:rPr>
              <w:t>2025-2026</w:t>
            </w:r>
          </w:p>
        </w:tc>
        <w:tc>
          <w:tcPr>
            <w:tcW w:w="1329" w:type="dxa"/>
            <w:shd w:val="clear" w:color="auto" w:fill="FFFFFF" w:themeFill="background1"/>
            <w:tcMar>
              <w:top w:w="15" w:type="dxa"/>
              <w:left w:w="0" w:type="dxa"/>
              <w:bottom w:w="15" w:type="dxa"/>
              <w:right w:w="15" w:type="dxa"/>
            </w:tcMar>
            <w:vAlign w:val="center"/>
          </w:tcPr>
          <w:p w14:paraId="3F53F78E" w14:textId="4269893C" w:rsidR="00EF4149" w:rsidRPr="005C3719" w:rsidRDefault="00EF4149" w:rsidP="00F15187">
            <w:pPr>
              <w:spacing w:line="276" w:lineRule="auto"/>
              <w:jc w:val="left"/>
              <w:rPr>
                <w:rFonts w:ascii="Arial" w:eastAsia="Calibri" w:hAnsi="Arial" w:cs="Arial"/>
              </w:rPr>
            </w:pPr>
            <w:r w:rsidRPr="005C3719">
              <w:rPr>
                <w:rFonts w:ascii="Arial" w:hAnsi="Arial" w:cs="Arial"/>
                <w:lang w:eastAsia="pl-PL"/>
              </w:rPr>
              <w:t>horyzontalna</w:t>
            </w:r>
          </w:p>
        </w:tc>
      </w:tr>
      <w:tr w:rsidR="00EF4149" w:rsidRPr="005C3719" w14:paraId="53E81128" w14:textId="77777777" w:rsidTr="00917386">
        <w:trPr>
          <w:trHeight w:val="55"/>
        </w:trPr>
        <w:tc>
          <w:tcPr>
            <w:tcW w:w="498" w:type="dxa"/>
            <w:shd w:val="clear" w:color="auto" w:fill="FFFFFF" w:themeFill="background1"/>
            <w:vAlign w:val="center"/>
          </w:tcPr>
          <w:p w14:paraId="223C2346" w14:textId="1C58A2AE" w:rsidR="00EF4149" w:rsidRPr="005C3719" w:rsidRDefault="00EF4149" w:rsidP="00F15187">
            <w:pPr>
              <w:jc w:val="left"/>
              <w:rPr>
                <w:rFonts w:ascii="Arial" w:hAnsi="Arial" w:cs="Arial"/>
                <w:lang w:eastAsia="pl-PL"/>
              </w:rPr>
            </w:pPr>
            <w:r w:rsidRPr="005C3719">
              <w:rPr>
                <w:rFonts w:ascii="Arial" w:hAnsi="Arial" w:cs="Arial"/>
                <w:lang w:eastAsia="pl-PL"/>
              </w:rPr>
              <w:t>5</w:t>
            </w:r>
          </w:p>
        </w:tc>
        <w:tc>
          <w:tcPr>
            <w:tcW w:w="4450" w:type="dxa"/>
            <w:shd w:val="clear" w:color="auto" w:fill="FFFFFF" w:themeFill="background1"/>
            <w:vAlign w:val="center"/>
          </w:tcPr>
          <w:p w14:paraId="78220161" w14:textId="791D74F8" w:rsidR="00EF4149" w:rsidRPr="005C3719" w:rsidRDefault="00EF4149" w:rsidP="00F15187">
            <w:pPr>
              <w:spacing w:line="276" w:lineRule="auto"/>
              <w:jc w:val="left"/>
              <w:rPr>
                <w:rFonts w:ascii="Arial" w:hAnsi="Arial" w:cs="Arial"/>
                <w:lang w:eastAsia="pl-PL"/>
              </w:rPr>
            </w:pPr>
            <w:r w:rsidRPr="005C3719">
              <w:rPr>
                <w:rFonts w:ascii="Arial" w:hAnsi="Arial" w:cs="Arial"/>
                <w:lang w:eastAsia="pl-PL"/>
              </w:rPr>
              <w:t>Skala relatywnego wsparcia dla regionów Polski Wschodniej odpowiadała potrzebom i możliwościom absorpcyjnym tych regionów. Relatywnie małe zróżnicowanie wsparcia przypadającego na jednego mieszkańca przy dużym zróżnicowaniu wsparcia liczonego w odniesieniu do PKB było słusznym wyborem polskiej polityki publicznej.</w:t>
            </w:r>
          </w:p>
        </w:tc>
        <w:tc>
          <w:tcPr>
            <w:tcW w:w="3977" w:type="dxa"/>
            <w:shd w:val="clear" w:color="auto" w:fill="FFFFFF" w:themeFill="background1"/>
            <w:vAlign w:val="center"/>
          </w:tcPr>
          <w:p w14:paraId="4B9BD4FB" w14:textId="5309577E" w:rsidR="00EF4149" w:rsidRPr="005C3719" w:rsidRDefault="00EF4149" w:rsidP="00F15187">
            <w:pPr>
              <w:spacing w:line="276" w:lineRule="auto"/>
              <w:jc w:val="left"/>
              <w:rPr>
                <w:rFonts w:ascii="Arial" w:hAnsi="Arial" w:cs="Arial"/>
                <w:lang w:eastAsia="pl-PL"/>
              </w:rPr>
            </w:pPr>
            <w:r w:rsidRPr="005C3719">
              <w:rPr>
                <w:rFonts w:ascii="Arial" w:hAnsi="Arial" w:cs="Arial"/>
                <w:lang w:eastAsia="pl-PL"/>
              </w:rPr>
              <w:t>Należy dążyć do utrzymania w miarę jednolitego poziomu alokacji w przeliczeniu na mieszkańca przy zróżnicowanym wsparciu w odniesieniu do regionalnego PKB.</w:t>
            </w:r>
          </w:p>
        </w:tc>
        <w:tc>
          <w:tcPr>
            <w:tcW w:w="1490" w:type="dxa"/>
            <w:shd w:val="clear" w:color="auto" w:fill="FFFFFF" w:themeFill="background1"/>
            <w:vAlign w:val="center"/>
          </w:tcPr>
          <w:p w14:paraId="34468D02" w14:textId="38C1E6E0" w:rsidR="00EF4149" w:rsidRPr="005C3719" w:rsidRDefault="00EF4149" w:rsidP="00F15187">
            <w:pPr>
              <w:spacing w:line="276" w:lineRule="auto"/>
              <w:jc w:val="left"/>
              <w:rPr>
                <w:rFonts w:ascii="Arial" w:hAnsi="Arial" w:cs="Arial"/>
                <w:lang w:eastAsia="pl-PL"/>
              </w:rPr>
            </w:pPr>
            <w:r w:rsidRPr="005C3719">
              <w:rPr>
                <w:rFonts w:ascii="Arial" w:hAnsi="Arial" w:cs="Arial"/>
                <w:lang w:eastAsia="pl-PL"/>
              </w:rPr>
              <w:t>MFiPR</w:t>
            </w:r>
          </w:p>
        </w:tc>
        <w:tc>
          <w:tcPr>
            <w:tcW w:w="2821" w:type="dxa"/>
            <w:shd w:val="clear" w:color="auto" w:fill="FFFFFF" w:themeFill="background1"/>
            <w:vAlign w:val="center"/>
          </w:tcPr>
          <w:p w14:paraId="119C47D1" w14:textId="23FD483D" w:rsidR="00EF4149" w:rsidRPr="005C3719" w:rsidRDefault="00EF4149" w:rsidP="00F15187">
            <w:pPr>
              <w:spacing w:line="276" w:lineRule="auto"/>
              <w:jc w:val="left"/>
              <w:rPr>
                <w:rFonts w:ascii="Arial" w:hAnsi="Arial" w:cs="Arial"/>
                <w:lang w:eastAsia="pl-PL"/>
              </w:rPr>
            </w:pPr>
            <w:r w:rsidRPr="005C3719">
              <w:rPr>
                <w:rFonts w:ascii="Arial" w:hAnsi="Arial" w:cs="Arial"/>
                <w:lang w:eastAsia="pl-PL"/>
              </w:rPr>
              <w:t>Opracowanie analizy ex-ante oceniającej potrzeby rozwojowe Polski pod kątem przygotowywania priorytetów wydatkowych nowej perspektywy finansowej (alokacja funduszy do poszczególnych regionów).</w:t>
            </w:r>
          </w:p>
        </w:tc>
        <w:tc>
          <w:tcPr>
            <w:tcW w:w="1366" w:type="dxa"/>
            <w:shd w:val="clear" w:color="auto" w:fill="FFFFFF" w:themeFill="background1"/>
            <w:vAlign w:val="center"/>
          </w:tcPr>
          <w:p w14:paraId="337BD858" w14:textId="5554DB14" w:rsidR="00EF4149" w:rsidRPr="005C3719" w:rsidRDefault="00EF4149" w:rsidP="00917386">
            <w:pPr>
              <w:spacing w:line="276" w:lineRule="auto"/>
              <w:jc w:val="left"/>
              <w:rPr>
                <w:rFonts w:ascii="Arial" w:hAnsi="Arial" w:cs="Arial"/>
                <w:lang w:eastAsia="pl-PL"/>
              </w:rPr>
            </w:pPr>
            <w:r w:rsidRPr="00D57F05">
              <w:rPr>
                <w:rFonts w:ascii="Arial" w:hAnsi="Arial" w:cs="Arial"/>
                <w:lang w:eastAsia="pl-PL"/>
              </w:rPr>
              <w:t>2025-2026</w:t>
            </w:r>
          </w:p>
        </w:tc>
        <w:tc>
          <w:tcPr>
            <w:tcW w:w="1329" w:type="dxa"/>
            <w:shd w:val="clear" w:color="auto" w:fill="FFFFFF" w:themeFill="background1"/>
            <w:tcMar>
              <w:top w:w="15" w:type="dxa"/>
              <w:left w:w="0" w:type="dxa"/>
              <w:bottom w:w="15" w:type="dxa"/>
              <w:right w:w="15" w:type="dxa"/>
            </w:tcMar>
            <w:vAlign w:val="center"/>
          </w:tcPr>
          <w:p w14:paraId="31278362" w14:textId="65C28ED9" w:rsidR="00EF4149" w:rsidRPr="005C3719" w:rsidRDefault="00EF4149" w:rsidP="00F15187">
            <w:pPr>
              <w:spacing w:line="276" w:lineRule="auto"/>
              <w:jc w:val="left"/>
              <w:rPr>
                <w:rFonts w:ascii="Arial" w:eastAsia="Calibri" w:hAnsi="Arial" w:cs="Arial"/>
              </w:rPr>
            </w:pPr>
            <w:r w:rsidRPr="005C3719">
              <w:rPr>
                <w:rFonts w:ascii="Arial" w:hAnsi="Arial" w:cs="Arial"/>
                <w:lang w:eastAsia="pl-PL"/>
              </w:rPr>
              <w:t>horyzontalna</w:t>
            </w:r>
          </w:p>
        </w:tc>
      </w:tr>
    </w:tbl>
    <w:p w14:paraId="0B124F22" w14:textId="77777777" w:rsidR="004D5389" w:rsidRDefault="004D5389" w:rsidP="00917386">
      <w:pPr>
        <w:jc w:val="left"/>
      </w:pPr>
    </w:p>
    <w:p w14:paraId="5BF9D189" w14:textId="77777777" w:rsidR="005D3293" w:rsidRDefault="005D3293" w:rsidP="00917386">
      <w:pPr>
        <w:jc w:val="left"/>
        <w:sectPr w:rsidR="005D3293" w:rsidSect="0083752C">
          <w:pgSz w:w="16838" w:h="11906" w:orient="landscape"/>
          <w:pgMar w:top="1418" w:right="1418" w:bottom="1418" w:left="1418" w:header="709" w:footer="709" w:gutter="0"/>
          <w:cols w:space="708"/>
          <w:titlePg/>
          <w:docGrid w:linePitch="360"/>
        </w:sectPr>
      </w:pPr>
    </w:p>
    <w:p w14:paraId="0FBEBE52" w14:textId="77777777" w:rsidR="00FD0F99" w:rsidRPr="0083752C" w:rsidRDefault="00FD0F99" w:rsidP="00917386">
      <w:pPr>
        <w:pStyle w:val="Nagwek1"/>
        <w:jc w:val="left"/>
        <w:rPr>
          <w:lang w:val="de-DE"/>
        </w:rPr>
      </w:pPr>
      <w:bookmarkStart w:id="105" w:name="_Toc176241633"/>
      <w:r>
        <w:rPr>
          <w:lang w:val="de-DE"/>
        </w:rPr>
        <w:lastRenderedPageBreak/>
        <w:t>Spis wykresów</w:t>
      </w:r>
      <w:bookmarkEnd w:id="105"/>
    </w:p>
    <w:p w14:paraId="19444BB7" w14:textId="09DF1F72" w:rsidR="00AF36BC" w:rsidRPr="00AF36BC" w:rsidRDefault="00FD0F99" w:rsidP="00917386">
      <w:pPr>
        <w:pStyle w:val="Spisilustracji"/>
        <w:tabs>
          <w:tab w:val="right" w:leader="dot" w:pos="9062"/>
        </w:tabs>
        <w:jc w:val="left"/>
        <w:rPr>
          <w:rFonts w:ascii="Arial Nova Cond" w:eastAsiaTheme="minorEastAsia" w:hAnsi="Arial Nova Cond" w:cstheme="minorBidi"/>
          <w:noProof/>
          <w:kern w:val="2"/>
          <w:sz w:val="24"/>
          <w:szCs w:val="24"/>
          <w:lang w:eastAsia="pl-PL"/>
          <w14:ligatures w14:val="standardContextual"/>
        </w:rPr>
      </w:pPr>
      <w:r w:rsidRPr="0083752C">
        <w:rPr>
          <w:rFonts w:asciiTheme="majorHAnsi" w:hAnsiTheme="majorHAnsi" w:cstheme="majorHAnsi"/>
          <w:lang w:val="en-US"/>
        </w:rPr>
        <w:fldChar w:fldCharType="begin"/>
      </w:r>
      <w:r w:rsidRPr="0083752C">
        <w:rPr>
          <w:rFonts w:asciiTheme="majorHAnsi" w:hAnsiTheme="majorHAnsi" w:cstheme="majorHAnsi"/>
          <w:lang w:val="en-US"/>
        </w:rPr>
        <w:instrText xml:space="preserve"> TOC \h \z \c "Wykres" </w:instrText>
      </w:r>
      <w:r w:rsidRPr="0083752C">
        <w:rPr>
          <w:rFonts w:asciiTheme="majorHAnsi" w:hAnsiTheme="majorHAnsi" w:cstheme="majorHAnsi"/>
          <w:lang w:val="en-US"/>
        </w:rPr>
        <w:fldChar w:fldCharType="separate"/>
      </w:r>
      <w:hyperlink w:anchor="_Toc173834310" w:history="1">
        <w:r w:rsidR="00AF36BC" w:rsidRPr="00AF36BC">
          <w:rPr>
            <w:rStyle w:val="Hipercze"/>
            <w:rFonts w:ascii="Arial Nova Cond" w:hAnsi="Arial Nova Cond"/>
            <w:noProof/>
          </w:rPr>
          <w:t>Wykres 1. Struktura funduszy UE wydatkowanych w latach 2004-2029 wg perspektyw finansowych</w:t>
        </w:r>
        <w:r w:rsidR="00AF36BC" w:rsidRPr="00AF36BC">
          <w:rPr>
            <w:rFonts w:ascii="Arial Nova Cond" w:hAnsi="Arial Nova Cond"/>
            <w:noProof/>
            <w:webHidden/>
          </w:rPr>
          <w:tab/>
        </w:r>
        <w:r w:rsidR="00AF36BC" w:rsidRPr="00AF36BC">
          <w:rPr>
            <w:rFonts w:ascii="Arial Nova Cond" w:hAnsi="Arial Nova Cond"/>
            <w:noProof/>
            <w:webHidden/>
          </w:rPr>
          <w:fldChar w:fldCharType="begin"/>
        </w:r>
        <w:r w:rsidR="00AF36BC" w:rsidRPr="00AF36BC">
          <w:rPr>
            <w:rFonts w:ascii="Arial Nova Cond" w:hAnsi="Arial Nova Cond"/>
            <w:noProof/>
            <w:webHidden/>
          </w:rPr>
          <w:instrText xml:space="preserve"> PAGEREF _Toc173834310 \h </w:instrText>
        </w:r>
        <w:r w:rsidR="00AF36BC" w:rsidRPr="00AF36BC">
          <w:rPr>
            <w:rFonts w:ascii="Arial Nova Cond" w:hAnsi="Arial Nova Cond"/>
            <w:noProof/>
            <w:webHidden/>
          </w:rPr>
        </w:r>
        <w:r w:rsidR="00AF36BC" w:rsidRPr="00AF36BC">
          <w:rPr>
            <w:rFonts w:ascii="Arial Nova Cond" w:hAnsi="Arial Nova Cond"/>
            <w:noProof/>
            <w:webHidden/>
          </w:rPr>
          <w:fldChar w:fldCharType="separate"/>
        </w:r>
        <w:r w:rsidR="00586CF2">
          <w:rPr>
            <w:rFonts w:ascii="Arial Nova Cond" w:hAnsi="Arial Nova Cond"/>
            <w:noProof/>
            <w:webHidden/>
          </w:rPr>
          <w:t>19</w:t>
        </w:r>
        <w:r w:rsidR="00AF36BC" w:rsidRPr="00AF36BC">
          <w:rPr>
            <w:rFonts w:ascii="Arial Nova Cond" w:hAnsi="Arial Nova Cond"/>
            <w:noProof/>
            <w:webHidden/>
          </w:rPr>
          <w:fldChar w:fldCharType="end"/>
        </w:r>
      </w:hyperlink>
    </w:p>
    <w:p w14:paraId="6C197D3A" w14:textId="3F5DD0C5" w:rsidR="00AF36BC" w:rsidRPr="00AF36BC" w:rsidRDefault="00B17C18" w:rsidP="00917386">
      <w:pPr>
        <w:pStyle w:val="Spisilustracji"/>
        <w:tabs>
          <w:tab w:val="right" w:leader="dot" w:pos="9062"/>
        </w:tabs>
        <w:jc w:val="left"/>
        <w:rPr>
          <w:rFonts w:ascii="Arial Nova Cond" w:eastAsiaTheme="minorEastAsia" w:hAnsi="Arial Nova Cond" w:cstheme="minorBidi"/>
          <w:noProof/>
          <w:kern w:val="2"/>
          <w:sz w:val="24"/>
          <w:szCs w:val="24"/>
          <w:lang w:eastAsia="pl-PL"/>
          <w14:ligatures w14:val="standardContextual"/>
        </w:rPr>
      </w:pPr>
      <w:hyperlink w:anchor="_Toc173834311" w:history="1">
        <w:r w:rsidR="00AF36BC" w:rsidRPr="00AF36BC">
          <w:rPr>
            <w:rStyle w:val="Hipercze"/>
            <w:rFonts w:ascii="Arial Nova Cond" w:hAnsi="Arial Nova Cond"/>
            <w:noProof/>
          </w:rPr>
          <w:t>Wykres 2. Struktura funduszy UE wydatkowanych w latach 2004-2029 wg typów wsparcia</w:t>
        </w:r>
        <w:r w:rsidR="00AF36BC" w:rsidRPr="00AF36BC">
          <w:rPr>
            <w:rFonts w:ascii="Arial Nova Cond" w:hAnsi="Arial Nova Cond"/>
            <w:noProof/>
            <w:webHidden/>
          </w:rPr>
          <w:tab/>
        </w:r>
        <w:r w:rsidR="00AF36BC" w:rsidRPr="00AF36BC">
          <w:rPr>
            <w:rFonts w:ascii="Arial Nova Cond" w:hAnsi="Arial Nova Cond"/>
            <w:noProof/>
            <w:webHidden/>
          </w:rPr>
          <w:fldChar w:fldCharType="begin"/>
        </w:r>
        <w:r w:rsidR="00AF36BC" w:rsidRPr="00AF36BC">
          <w:rPr>
            <w:rFonts w:ascii="Arial Nova Cond" w:hAnsi="Arial Nova Cond"/>
            <w:noProof/>
            <w:webHidden/>
          </w:rPr>
          <w:instrText xml:space="preserve"> PAGEREF _Toc173834311 \h </w:instrText>
        </w:r>
        <w:r w:rsidR="00AF36BC" w:rsidRPr="00AF36BC">
          <w:rPr>
            <w:rFonts w:ascii="Arial Nova Cond" w:hAnsi="Arial Nova Cond"/>
            <w:noProof/>
            <w:webHidden/>
          </w:rPr>
        </w:r>
        <w:r w:rsidR="00AF36BC" w:rsidRPr="00AF36BC">
          <w:rPr>
            <w:rFonts w:ascii="Arial Nova Cond" w:hAnsi="Arial Nova Cond"/>
            <w:noProof/>
            <w:webHidden/>
          </w:rPr>
          <w:fldChar w:fldCharType="separate"/>
        </w:r>
        <w:r w:rsidR="00586CF2">
          <w:rPr>
            <w:rFonts w:ascii="Arial Nova Cond" w:hAnsi="Arial Nova Cond"/>
            <w:noProof/>
            <w:webHidden/>
          </w:rPr>
          <w:t>20</w:t>
        </w:r>
        <w:r w:rsidR="00AF36BC" w:rsidRPr="00AF36BC">
          <w:rPr>
            <w:rFonts w:ascii="Arial Nova Cond" w:hAnsi="Arial Nova Cond"/>
            <w:noProof/>
            <w:webHidden/>
          </w:rPr>
          <w:fldChar w:fldCharType="end"/>
        </w:r>
      </w:hyperlink>
    </w:p>
    <w:p w14:paraId="28E605EE" w14:textId="21A9AB16" w:rsidR="00AF36BC" w:rsidRPr="00AF36BC" w:rsidRDefault="00B17C18" w:rsidP="00917386">
      <w:pPr>
        <w:pStyle w:val="Spisilustracji"/>
        <w:tabs>
          <w:tab w:val="right" w:leader="dot" w:pos="9062"/>
        </w:tabs>
        <w:jc w:val="left"/>
        <w:rPr>
          <w:rFonts w:ascii="Arial Nova Cond" w:eastAsiaTheme="minorEastAsia" w:hAnsi="Arial Nova Cond" w:cstheme="minorBidi"/>
          <w:noProof/>
          <w:kern w:val="2"/>
          <w:sz w:val="24"/>
          <w:szCs w:val="24"/>
          <w:lang w:eastAsia="pl-PL"/>
          <w14:ligatures w14:val="standardContextual"/>
        </w:rPr>
      </w:pPr>
      <w:hyperlink w:anchor="_Toc173834312" w:history="1">
        <w:r w:rsidR="00AF36BC" w:rsidRPr="00AF36BC">
          <w:rPr>
            <w:rStyle w:val="Hipercze"/>
            <w:rFonts w:ascii="Arial Nova Cond" w:hAnsi="Arial Nova Cond"/>
            <w:noProof/>
          </w:rPr>
          <w:t>Wykres 3.Udział funduszy UE w PKB województw w latach 2004-2029</w:t>
        </w:r>
        <w:r w:rsidR="00AF36BC" w:rsidRPr="00AF36BC">
          <w:rPr>
            <w:rFonts w:ascii="Arial Nova Cond" w:hAnsi="Arial Nova Cond"/>
            <w:noProof/>
            <w:webHidden/>
          </w:rPr>
          <w:tab/>
        </w:r>
        <w:r w:rsidR="00AF36BC" w:rsidRPr="00AF36BC">
          <w:rPr>
            <w:rFonts w:ascii="Arial Nova Cond" w:hAnsi="Arial Nova Cond"/>
            <w:noProof/>
            <w:webHidden/>
          </w:rPr>
          <w:fldChar w:fldCharType="begin"/>
        </w:r>
        <w:r w:rsidR="00AF36BC" w:rsidRPr="00AF36BC">
          <w:rPr>
            <w:rFonts w:ascii="Arial Nova Cond" w:hAnsi="Arial Nova Cond"/>
            <w:noProof/>
            <w:webHidden/>
          </w:rPr>
          <w:instrText xml:space="preserve"> PAGEREF _Toc173834312 \h </w:instrText>
        </w:r>
        <w:r w:rsidR="00AF36BC" w:rsidRPr="00AF36BC">
          <w:rPr>
            <w:rFonts w:ascii="Arial Nova Cond" w:hAnsi="Arial Nova Cond"/>
            <w:noProof/>
            <w:webHidden/>
          </w:rPr>
        </w:r>
        <w:r w:rsidR="00AF36BC" w:rsidRPr="00AF36BC">
          <w:rPr>
            <w:rFonts w:ascii="Arial Nova Cond" w:hAnsi="Arial Nova Cond"/>
            <w:noProof/>
            <w:webHidden/>
          </w:rPr>
          <w:fldChar w:fldCharType="separate"/>
        </w:r>
        <w:r w:rsidR="00586CF2">
          <w:rPr>
            <w:rFonts w:ascii="Arial Nova Cond" w:hAnsi="Arial Nova Cond"/>
            <w:noProof/>
            <w:webHidden/>
          </w:rPr>
          <w:t>21</w:t>
        </w:r>
        <w:r w:rsidR="00AF36BC" w:rsidRPr="00AF36BC">
          <w:rPr>
            <w:rFonts w:ascii="Arial Nova Cond" w:hAnsi="Arial Nova Cond"/>
            <w:noProof/>
            <w:webHidden/>
          </w:rPr>
          <w:fldChar w:fldCharType="end"/>
        </w:r>
      </w:hyperlink>
    </w:p>
    <w:p w14:paraId="1B7E5441" w14:textId="03ED60F2" w:rsidR="00AF36BC" w:rsidRPr="00AF36BC" w:rsidRDefault="00B17C18" w:rsidP="00917386">
      <w:pPr>
        <w:pStyle w:val="Spisilustracji"/>
        <w:tabs>
          <w:tab w:val="right" w:leader="dot" w:pos="9062"/>
        </w:tabs>
        <w:jc w:val="left"/>
        <w:rPr>
          <w:rFonts w:ascii="Arial Nova Cond" w:eastAsiaTheme="minorEastAsia" w:hAnsi="Arial Nova Cond" w:cstheme="minorBidi"/>
          <w:noProof/>
          <w:kern w:val="2"/>
          <w:sz w:val="24"/>
          <w:szCs w:val="24"/>
          <w:lang w:eastAsia="pl-PL"/>
          <w14:ligatures w14:val="standardContextual"/>
        </w:rPr>
      </w:pPr>
      <w:hyperlink w:anchor="_Toc173834313" w:history="1">
        <w:r w:rsidR="00AF36BC" w:rsidRPr="00AF36BC">
          <w:rPr>
            <w:rStyle w:val="Hipercze"/>
            <w:rFonts w:ascii="Arial Nova Cond" w:hAnsi="Arial Nova Cond"/>
            <w:noProof/>
          </w:rPr>
          <w:t>Wykres 4. Wpływ funduszy UE na PKB w cenach bieżących</w:t>
        </w:r>
        <w:r w:rsidR="00AF36BC" w:rsidRPr="00AF36BC">
          <w:rPr>
            <w:rFonts w:ascii="Arial Nova Cond" w:hAnsi="Arial Nova Cond"/>
            <w:noProof/>
            <w:webHidden/>
          </w:rPr>
          <w:tab/>
        </w:r>
        <w:r w:rsidR="00AF36BC" w:rsidRPr="00AF36BC">
          <w:rPr>
            <w:rFonts w:ascii="Arial Nova Cond" w:hAnsi="Arial Nova Cond"/>
            <w:noProof/>
            <w:webHidden/>
          </w:rPr>
          <w:fldChar w:fldCharType="begin"/>
        </w:r>
        <w:r w:rsidR="00AF36BC" w:rsidRPr="00AF36BC">
          <w:rPr>
            <w:rFonts w:ascii="Arial Nova Cond" w:hAnsi="Arial Nova Cond"/>
            <w:noProof/>
            <w:webHidden/>
          </w:rPr>
          <w:instrText xml:space="preserve"> PAGEREF _Toc173834313 \h </w:instrText>
        </w:r>
        <w:r w:rsidR="00AF36BC" w:rsidRPr="00AF36BC">
          <w:rPr>
            <w:rFonts w:ascii="Arial Nova Cond" w:hAnsi="Arial Nova Cond"/>
            <w:noProof/>
            <w:webHidden/>
          </w:rPr>
        </w:r>
        <w:r w:rsidR="00AF36BC" w:rsidRPr="00AF36BC">
          <w:rPr>
            <w:rFonts w:ascii="Arial Nova Cond" w:hAnsi="Arial Nova Cond"/>
            <w:noProof/>
            <w:webHidden/>
          </w:rPr>
          <w:fldChar w:fldCharType="separate"/>
        </w:r>
        <w:r w:rsidR="00586CF2">
          <w:rPr>
            <w:rFonts w:ascii="Arial Nova Cond" w:hAnsi="Arial Nova Cond"/>
            <w:noProof/>
            <w:webHidden/>
          </w:rPr>
          <w:t>22</w:t>
        </w:r>
        <w:r w:rsidR="00AF36BC" w:rsidRPr="00AF36BC">
          <w:rPr>
            <w:rFonts w:ascii="Arial Nova Cond" w:hAnsi="Arial Nova Cond"/>
            <w:noProof/>
            <w:webHidden/>
          </w:rPr>
          <w:fldChar w:fldCharType="end"/>
        </w:r>
      </w:hyperlink>
    </w:p>
    <w:p w14:paraId="5872FE74" w14:textId="2AD44D41" w:rsidR="00AF36BC" w:rsidRPr="00AF36BC" w:rsidRDefault="00B17C18" w:rsidP="00917386">
      <w:pPr>
        <w:pStyle w:val="Spisilustracji"/>
        <w:tabs>
          <w:tab w:val="right" w:leader="dot" w:pos="9062"/>
        </w:tabs>
        <w:jc w:val="left"/>
        <w:rPr>
          <w:rFonts w:ascii="Arial Nova Cond" w:eastAsiaTheme="minorEastAsia" w:hAnsi="Arial Nova Cond" w:cstheme="minorBidi"/>
          <w:noProof/>
          <w:kern w:val="2"/>
          <w:sz w:val="24"/>
          <w:szCs w:val="24"/>
          <w:lang w:eastAsia="pl-PL"/>
          <w14:ligatures w14:val="standardContextual"/>
        </w:rPr>
      </w:pPr>
      <w:hyperlink w:anchor="_Toc173834314" w:history="1">
        <w:r w:rsidR="00AF36BC" w:rsidRPr="00AF36BC">
          <w:rPr>
            <w:rStyle w:val="Hipercze"/>
            <w:rFonts w:ascii="Arial Nova Cond" w:hAnsi="Arial Nova Cond"/>
            <w:noProof/>
          </w:rPr>
          <w:t>Wykres 5. Wpływ funduszy UE na PKB w podziale na typy wsparcia</w:t>
        </w:r>
        <w:r w:rsidR="00AF36BC" w:rsidRPr="00AF36BC">
          <w:rPr>
            <w:rFonts w:ascii="Arial Nova Cond" w:hAnsi="Arial Nova Cond"/>
            <w:noProof/>
            <w:webHidden/>
          </w:rPr>
          <w:tab/>
        </w:r>
        <w:r w:rsidR="00AF36BC" w:rsidRPr="00AF36BC">
          <w:rPr>
            <w:rFonts w:ascii="Arial Nova Cond" w:hAnsi="Arial Nova Cond"/>
            <w:noProof/>
            <w:webHidden/>
          </w:rPr>
          <w:fldChar w:fldCharType="begin"/>
        </w:r>
        <w:r w:rsidR="00AF36BC" w:rsidRPr="00AF36BC">
          <w:rPr>
            <w:rFonts w:ascii="Arial Nova Cond" w:hAnsi="Arial Nova Cond"/>
            <w:noProof/>
            <w:webHidden/>
          </w:rPr>
          <w:instrText xml:space="preserve"> PAGEREF _Toc173834314 \h </w:instrText>
        </w:r>
        <w:r w:rsidR="00AF36BC" w:rsidRPr="00AF36BC">
          <w:rPr>
            <w:rFonts w:ascii="Arial Nova Cond" w:hAnsi="Arial Nova Cond"/>
            <w:noProof/>
            <w:webHidden/>
          </w:rPr>
        </w:r>
        <w:r w:rsidR="00AF36BC" w:rsidRPr="00AF36BC">
          <w:rPr>
            <w:rFonts w:ascii="Arial Nova Cond" w:hAnsi="Arial Nova Cond"/>
            <w:noProof/>
            <w:webHidden/>
          </w:rPr>
          <w:fldChar w:fldCharType="separate"/>
        </w:r>
        <w:r w:rsidR="00586CF2">
          <w:rPr>
            <w:rFonts w:ascii="Arial Nova Cond" w:hAnsi="Arial Nova Cond"/>
            <w:noProof/>
            <w:webHidden/>
          </w:rPr>
          <w:t>22</w:t>
        </w:r>
        <w:r w:rsidR="00AF36BC" w:rsidRPr="00AF36BC">
          <w:rPr>
            <w:rFonts w:ascii="Arial Nova Cond" w:hAnsi="Arial Nova Cond"/>
            <w:noProof/>
            <w:webHidden/>
          </w:rPr>
          <w:fldChar w:fldCharType="end"/>
        </w:r>
      </w:hyperlink>
    </w:p>
    <w:p w14:paraId="4E9894DC" w14:textId="5A17CF10" w:rsidR="00AF36BC" w:rsidRPr="00AF36BC" w:rsidRDefault="00B17C18" w:rsidP="00917386">
      <w:pPr>
        <w:pStyle w:val="Spisilustracji"/>
        <w:tabs>
          <w:tab w:val="right" w:leader="dot" w:pos="9062"/>
        </w:tabs>
        <w:jc w:val="left"/>
        <w:rPr>
          <w:rFonts w:ascii="Arial Nova Cond" w:eastAsiaTheme="minorEastAsia" w:hAnsi="Arial Nova Cond" w:cstheme="minorBidi"/>
          <w:noProof/>
          <w:kern w:val="2"/>
          <w:sz w:val="24"/>
          <w:szCs w:val="24"/>
          <w:lang w:eastAsia="pl-PL"/>
          <w14:ligatures w14:val="standardContextual"/>
        </w:rPr>
      </w:pPr>
      <w:hyperlink w:anchor="_Toc173834315" w:history="1">
        <w:r w:rsidR="00AF36BC" w:rsidRPr="00AF36BC">
          <w:rPr>
            <w:rStyle w:val="Hipercze"/>
            <w:rFonts w:ascii="Arial Nova Cond" w:hAnsi="Arial Nova Cond"/>
            <w:noProof/>
          </w:rPr>
          <w:t>Wykres 6. Wpływ funduszy UE na PKB w podziale na perspektywy finansowe</w:t>
        </w:r>
        <w:r w:rsidR="00AF36BC" w:rsidRPr="00AF36BC">
          <w:rPr>
            <w:rFonts w:ascii="Arial Nova Cond" w:hAnsi="Arial Nova Cond"/>
            <w:noProof/>
            <w:webHidden/>
          </w:rPr>
          <w:tab/>
        </w:r>
        <w:r w:rsidR="00AF36BC" w:rsidRPr="00AF36BC">
          <w:rPr>
            <w:rFonts w:ascii="Arial Nova Cond" w:hAnsi="Arial Nova Cond"/>
            <w:noProof/>
            <w:webHidden/>
          </w:rPr>
          <w:fldChar w:fldCharType="begin"/>
        </w:r>
        <w:r w:rsidR="00AF36BC" w:rsidRPr="00AF36BC">
          <w:rPr>
            <w:rFonts w:ascii="Arial Nova Cond" w:hAnsi="Arial Nova Cond"/>
            <w:noProof/>
            <w:webHidden/>
          </w:rPr>
          <w:instrText xml:space="preserve"> PAGEREF _Toc173834315 \h </w:instrText>
        </w:r>
        <w:r w:rsidR="00AF36BC" w:rsidRPr="00AF36BC">
          <w:rPr>
            <w:rFonts w:ascii="Arial Nova Cond" w:hAnsi="Arial Nova Cond"/>
            <w:noProof/>
            <w:webHidden/>
          </w:rPr>
        </w:r>
        <w:r w:rsidR="00AF36BC" w:rsidRPr="00AF36BC">
          <w:rPr>
            <w:rFonts w:ascii="Arial Nova Cond" w:hAnsi="Arial Nova Cond"/>
            <w:noProof/>
            <w:webHidden/>
          </w:rPr>
          <w:fldChar w:fldCharType="separate"/>
        </w:r>
        <w:r w:rsidR="00586CF2">
          <w:rPr>
            <w:rFonts w:ascii="Arial Nova Cond" w:hAnsi="Arial Nova Cond"/>
            <w:noProof/>
            <w:webHidden/>
          </w:rPr>
          <w:t>23</w:t>
        </w:r>
        <w:r w:rsidR="00AF36BC" w:rsidRPr="00AF36BC">
          <w:rPr>
            <w:rFonts w:ascii="Arial Nova Cond" w:hAnsi="Arial Nova Cond"/>
            <w:noProof/>
            <w:webHidden/>
          </w:rPr>
          <w:fldChar w:fldCharType="end"/>
        </w:r>
      </w:hyperlink>
    </w:p>
    <w:p w14:paraId="4E93AB44" w14:textId="478B8389" w:rsidR="00AF36BC" w:rsidRPr="00AF36BC" w:rsidRDefault="00B17C18" w:rsidP="00917386">
      <w:pPr>
        <w:pStyle w:val="Spisilustracji"/>
        <w:tabs>
          <w:tab w:val="right" w:leader="dot" w:pos="9062"/>
        </w:tabs>
        <w:jc w:val="left"/>
        <w:rPr>
          <w:rFonts w:ascii="Arial Nova Cond" w:eastAsiaTheme="minorEastAsia" w:hAnsi="Arial Nova Cond" w:cstheme="minorBidi"/>
          <w:noProof/>
          <w:kern w:val="2"/>
          <w:sz w:val="24"/>
          <w:szCs w:val="24"/>
          <w:lang w:eastAsia="pl-PL"/>
          <w14:ligatures w14:val="standardContextual"/>
        </w:rPr>
      </w:pPr>
      <w:hyperlink w:anchor="_Toc173834316" w:history="1">
        <w:r w:rsidR="00AF36BC" w:rsidRPr="00AF36BC">
          <w:rPr>
            <w:rStyle w:val="Hipercze"/>
            <w:rFonts w:ascii="Arial Nova Cond" w:hAnsi="Arial Nova Cond"/>
            <w:noProof/>
          </w:rPr>
          <w:t>Wykres 7. Średni wpływ funduszy UE na PKB województw (w proc.) w latach 2004-2023 i 2024-2033</w:t>
        </w:r>
        <w:r w:rsidR="00AF36BC" w:rsidRPr="00AF36BC">
          <w:rPr>
            <w:rFonts w:ascii="Arial Nova Cond" w:hAnsi="Arial Nova Cond"/>
            <w:noProof/>
            <w:webHidden/>
          </w:rPr>
          <w:tab/>
        </w:r>
        <w:r w:rsidR="00AF36BC" w:rsidRPr="00AF36BC">
          <w:rPr>
            <w:rFonts w:ascii="Arial Nova Cond" w:hAnsi="Arial Nova Cond"/>
            <w:noProof/>
            <w:webHidden/>
          </w:rPr>
          <w:fldChar w:fldCharType="begin"/>
        </w:r>
        <w:r w:rsidR="00AF36BC" w:rsidRPr="00AF36BC">
          <w:rPr>
            <w:rFonts w:ascii="Arial Nova Cond" w:hAnsi="Arial Nova Cond"/>
            <w:noProof/>
            <w:webHidden/>
          </w:rPr>
          <w:instrText xml:space="preserve"> PAGEREF _Toc173834316 \h </w:instrText>
        </w:r>
        <w:r w:rsidR="00AF36BC" w:rsidRPr="00AF36BC">
          <w:rPr>
            <w:rFonts w:ascii="Arial Nova Cond" w:hAnsi="Arial Nova Cond"/>
            <w:noProof/>
            <w:webHidden/>
          </w:rPr>
        </w:r>
        <w:r w:rsidR="00AF36BC" w:rsidRPr="00AF36BC">
          <w:rPr>
            <w:rFonts w:ascii="Arial Nova Cond" w:hAnsi="Arial Nova Cond"/>
            <w:noProof/>
            <w:webHidden/>
          </w:rPr>
          <w:fldChar w:fldCharType="separate"/>
        </w:r>
        <w:r w:rsidR="00586CF2">
          <w:rPr>
            <w:rFonts w:ascii="Arial Nova Cond" w:hAnsi="Arial Nova Cond"/>
            <w:noProof/>
            <w:webHidden/>
          </w:rPr>
          <w:t>24</w:t>
        </w:r>
        <w:r w:rsidR="00AF36BC" w:rsidRPr="00AF36BC">
          <w:rPr>
            <w:rFonts w:ascii="Arial Nova Cond" w:hAnsi="Arial Nova Cond"/>
            <w:noProof/>
            <w:webHidden/>
          </w:rPr>
          <w:fldChar w:fldCharType="end"/>
        </w:r>
      </w:hyperlink>
    </w:p>
    <w:p w14:paraId="121E2666" w14:textId="336E9FF5" w:rsidR="00AF36BC" w:rsidRPr="00AF36BC" w:rsidRDefault="00B17C18" w:rsidP="00917386">
      <w:pPr>
        <w:pStyle w:val="Spisilustracji"/>
        <w:tabs>
          <w:tab w:val="right" w:leader="dot" w:pos="9062"/>
        </w:tabs>
        <w:jc w:val="left"/>
        <w:rPr>
          <w:rFonts w:ascii="Arial Nova Cond" w:eastAsiaTheme="minorEastAsia" w:hAnsi="Arial Nova Cond" w:cstheme="minorBidi"/>
          <w:noProof/>
          <w:kern w:val="2"/>
          <w:sz w:val="24"/>
          <w:szCs w:val="24"/>
          <w:lang w:eastAsia="pl-PL"/>
          <w14:ligatures w14:val="standardContextual"/>
        </w:rPr>
      </w:pPr>
      <w:hyperlink w:anchor="_Toc173834317" w:history="1">
        <w:r w:rsidR="00AF36BC" w:rsidRPr="00AF36BC">
          <w:rPr>
            <w:rStyle w:val="Hipercze"/>
            <w:rFonts w:ascii="Arial Nova Cond" w:hAnsi="Arial Nova Cond"/>
            <w:noProof/>
          </w:rPr>
          <w:t>Wykres 8. Wpływ funduszy UE na PKB per capita w relacji do średniej UE-27 (wg PPS)</w:t>
        </w:r>
        <w:r w:rsidR="00AF36BC" w:rsidRPr="00AF36BC">
          <w:rPr>
            <w:rFonts w:ascii="Arial Nova Cond" w:hAnsi="Arial Nova Cond"/>
            <w:noProof/>
            <w:webHidden/>
          </w:rPr>
          <w:tab/>
        </w:r>
        <w:r w:rsidR="00AF36BC" w:rsidRPr="00AF36BC">
          <w:rPr>
            <w:rFonts w:ascii="Arial Nova Cond" w:hAnsi="Arial Nova Cond"/>
            <w:noProof/>
            <w:webHidden/>
          </w:rPr>
          <w:fldChar w:fldCharType="begin"/>
        </w:r>
        <w:r w:rsidR="00AF36BC" w:rsidRPr="00AF36BC">
          <w:rPr>
            <w:rFonts w:ascii="Arial Nova Cond" w:hAnsi="Arial Nova Cond"/>
            <w:noProof/>
            <w:webHidden/>
          </w:rPr>
          <w:instrText xml:space="preserve"> PAGEREF _Toc173834317 \h </w:instrText>
        </w:r>
        <w:r w:rsidR="00AF36BC" w:rsidRPr="00AF36BC">
          <w:rPr>
            <w:rFonts w:ascii="Arial Nova Cond" w:hAnsi="Arial Nova Cond"/>
            <w:noProof/>
            <w:webHidden/>
          </w:rPr>
        </w:r>
        <w:r w:rsidR="00AF36BC" w:rsidRPr="00AF36BC">
          <w:rPr>
            <w:rFonts w:ascii="Arial Nova Cond" w:hAnsi="Arial Nova Cond"/>
            <w:noProof/>
            <w:webHidden/>
          </w:rPr>
          <w:fldChar w:fldCharType="separate"/>
        </w:r>
        <w:r w:rsidR="00586CF2">
          <w:rPr>
            <w:rFonts w:ascii="Arial Nova Cond" w:hAnsi="Arial Nova Cond"/>
            <w:noProof/>
            <w:webHidden/>
          </w:rPr>
          <w:t>25</w:t>
        </w:r>
        <w:r w:rsidR="00AF36BC" w:rsidRPr="00AF36BC">
          <w:rPr>
            <w:rFonts w:ascii="Arial Nova Cond" w:hAnsi="Arial Nova Cond"/>
            <w:noProof/>
            <w:webHidden/>
          </w:rPr>
          <w:fldChar w:fldCharType="end"/>
        </w:r>
      </w:hyperlink>
    </w:p>
    <w:p w14:paraId="29B3D09A" w14:textId="3E0C6BBE" w:rsidR="00AF36BC" w:rsidRPr="00AF36BC" w:rsidRDefault="00B17C18" w:rsidP="00917386">
      <w:pPr>
        <w:pStyle w:val="Spisilustracji"/>
        <w:tabs>
          <w:tab w:val="right" w:leader="dot" w:pos="9062"/>
        </w:tabs>
        <w:jc w:val="left"/>
        <w:rPr>
          <w:rFonts w:ascii="Arial Nova Cond" w:eastAsiaTheme="minorEastAsia" w:hAnsi="Arial Nova Cond" w:cstheme="minorBidi"/>
          <w:noProof/>
          <w:kern w:val="2"/>
          <w:sz w:val="24"/>
          <w:szCs w:val="24"/>
          <w:lang w:eastAsia="pl-PL"/>
          <w14:ligatures w14:val="standardContextual"/>
        </w:rPr>
      </w:pPr>
      <w:hyperlink w:anchor="_Toc173834318" w:history="1">
        <w:r w:rsidR="00AF36BC" w:rsidRPr="00AF36BC">
          <w:rPr>
            <w:rStyle w:val="Hipercze"/>
            <w:rFonts w:ascii="Arial Nova Cond" w:hAnsi="Arial Nova Cond"/>
            <w:noProof/>
          </w:rPr>
          <w:t>Wykres 9. Średni wpływ funduszy UE na PKB per capita województw (w proc. UE27) w latach 2004-2023 i 2024-2033</w:t>
        </w:r>
        <w:r w:rsidR="00AF36BC" w:rsidRPr="00AF36BC">
          <w:rPr>
            <w:rFonts w:ascii="Arial Nova Cond" w:hAnsi="Arial Nova Cond"/>
            <w:noProof/>
            <w:webHidden/>
          </w:rPr>
          <w:tab/>
        </w:r>
        <w:r w:rsidR="00AF36BC" w:rsidRPr="00AF36BC">
          <w:rPr>
            <w:rFonts w:ascii="Arial Nova Cond" w:hAnsi="Arial Nova Cond"/>
            <w:noProof/>
            <w:webHidden/>
          </w:rPr>
          <w:fldChar w:fldCharType="begin"/>
        </w:r>
        <w:r w:rsidR="00AF36BC" w:rsidRPr="00AF36BC">
          <w:rPr>
            <w:rFonts w:ascii="Arial Nova Cond" w:hAnsi="Arial Nova Cond"/>
            <w:noProof/>
            <w:webHidden/>
          </w:rPr>
          <w:instrText xml:space="preserve"> PAGEREF _Toc173834318 \h </w:instrText>
        </w:r>
        <w:r w:rsidR="00AF36BC" w:rsidRPr="00AF36BC">
          <w:rPr>
            <w:rFonts w:ascii="Arial Nova Cond" w:hAnsi="Arial Nova Cond"/>
            <w:noProof/>
            <w:webHidden/>
          </w:rPr>
        </w:r>
        <w:r w:rsidR="00AF36BC" w:rsidRPr="00AF36BC">
          <w:rPr>
            <w:rFonts w:ascii="Arial Nova Cond" w:hAnsi="Arial Nova Cond"/>
            <w:noProof/>
            <w:webHidden/>
          </w:rPr>
          <w:fldChar w:fldCharType="separate"/>
        </w:r>
        <w:r w:rsidR="00586CF2">
          <w:rPr>
            <w:rFonts w:ascii="Arial Nova Cond" w:hAnsi="Arial Nova Cond"/>
            <w:noProof/>
            <w:webHidden/>
          </w:rPr>
          <w:t>26</w:t>
        </w:r>
        <w:r w:rsidR="00AF36BC" w:rsidRPr="00AF36BC">
          <w:rPr>
            <w:rFonts w:ascii="Arial Nova Cond" w:hAnsi="Arial Nova Cond"/>
            <w:noProof/>
            <w:webHidden/>
          </w:rPr>
          <w:fldChar w:fldCharType="end"/>
        </w:r>
      </w:hyperlink>
    </w:p>
    <w:p w14:paraId="72566A9A" w14:textId="20D8BA4D" w:rsidR="00AF36BC" w:rsidRPr="00AF36BC" w:rsidRDefault="00B17C18" w:rsidP="00917386">
      <w:pPr>
        <w:pStyle w:val="Spisilustracji"/>
        <w:tabs>
          <w:tab w:val="right" w:leader="dot" w:pos="9062"/>
        </w:tabs>
        <w:jc w:val="left"/>
        <w:rPr>
          <w:rFonts w:ascii="Arial Nova Cond" w:eastAsiaTheme="minorEastAsia" w:hAnsi="Arial Nova Cond" w:cstheme="minorBidi"/>
          <w:noProof/>
          <w:kern w:val="2"/>
          <w:sz w:val="24"/>
          <w:szCs w:val="24"/>
          <w:lang w:eastAsia="pl-PL"/>
          <w14:ligatures w14:val="standardContextual"/>
        </w:rPr>
      </w:pPr>
      <w:hyperlink w:anchor="_Toc173834319" w:history="1">
        <w:r w:rsidR="00AF36BC" w:rsidRPr="00AF36BC">
          <w:rPr>
            <w:rStyle w:val="Hipercze"/>
            <w:rFonts w:ascii="Arial Nova Cond" w:hAnsi="Arial Nova Cond"/>
            <w:noProof/>
          </w:rPr>
          <w:t>Wykres 10. Wpływ funduszy UE na PKB per capita Polski Wschodniej w relacji do średniej UE-27 (wg PPS)</w:t>
        </w:r>
        <w:r w:rsidR="00AF36BC" w:rsidRPr="00AF36BC">
          <w:rPr>
            <w:rFonts w:ascii="Arial Nova Cond" w:hAnsi="Arial Nova Cond"/>
            <w:noProof/>
            <w:webHidden/>
          </w:rPr>
          <w:tab/>
        </w:r>
        <w:r w:rsidR="00AF36BC" w:rsidRPr="00AF36BC">
          <w:rPr>
            <w:rFonts w:ascii="Arial Nova Cond" w:hAnsi="Arial Nova Cond"/>
            <w:noProof/>
            <w:webHidden/>
          </w:rPr>
          <w:fldChar w:fldCharType="begin"/>
        </w:r>
        <w:r w:rsidR="00AF36BC" w:rsidRPr="00AF36BC">
          <w:rPr>
            <w:rFonts w:ascii="Arial Nova Cond" w:hAnsi="Arial Nova Cond"/>
            <w:noProof/>
            <w:webHidden/>
          </w:rPr>
          <w:instrText xml:space="preserve"> PAGEREF _Toc173834319 \h </w:instrText>
        </w:r>
        <w:r w:rsidR="00AF36BC" w:rsidRPr="00AF36BC">
          <w:rPr>
            <w:rFonts w:ascii="Arial Nova Cond" w:hAnsi="Arial Nova Cond"/>
            <w:noProof/>
            <w:webHidden/>
          </w:rPr>
        </w:r>
        <w:r w:rsidR="00AF36BC" w:rsidRPr="00AF36BC">
          <w:rPr>
            <w:rFonts w:ascii="Arial Nova Cond" w:hAnsi="Arial Nova Cond"/>
            <w:noProof/>
            <w:webHidden/>
          </w:rPr>
          <w:fldChar w:fldCharType="separate"/>
        </w:r>
        <w:r w:rsidR="00586CF2">
          <w:rPr>
            <w:rFonts w:ascii="Arial Nova Cond" w:hAnsi="Arial Nova Cond"/>
            <w:noProof/>
            <w:webHidden/>
          </w:rPr>
          <w:t>26</w:t>
        </w:r>
        <w:r w:rsidR="00AF36BC" w:rsidRPr="00AF36BC">
          <w:rPr>
            <w:rFonts w:ascii="Arial Nova Cond" w:hAnsi="Arial Nova Cond"/>
            <w:noProof/>
            <w:webHidden/>
          </w:rPr>
          <w:fldChar w:fldCharType="end"/>
        </w:r>
      </w:hyperlink>
    </w:p>
    <w:p w14:paraId="78447ACC" w14:textId="21A48897" w:rsidR="00AF36BC" w:rsidRPr="00AF36BC" w:rsidRDefault="00B17C18" w:rsidP="00917386">
      <w:pPr>
        <w:pStyle w:val="Spisilustracji"/>
        <w:tabs>
          <w:tab w:val="right" w:leader="dot" w:pos="9062"/>
        </w:tabs>
        <w:jc w:val="left"/>
        <w:rPr>
          <w:rFonts w:ascii="Arial Nova Cond" w:eastAsiaTheme="minorEastAsia" w:hAnsi="Arial Nova Cond" w:cstheme="minorBidi"/>
          <w:noProof/>
          <w:kern w:val="2"/>
          <w:sz w:val="24"/>
          <w:szCs w:val="24"/>
          <w:lang w:eastAsia="pl-PL"/>
          <w14:ligatures w14:val="standardContextual"/>
        </w:rPr>
      </w:pPr>
      <w:hyperlink w:anchor="_Toc173834320" w:history="1">
        <w:r w:rsidR="00AF36BC" w:rsidRPr="00AF36BC">
          <w:rPr>
            <w:rStyle w:val="Hipercze"/>
            <w:rFonts w:ascii="Arial Nova Cond" w:hAnsi="Arial Nova Cond"/>
            <w:noProof/>
          </w:rPr>
          <w:t>Wykres 11. Wpływ funduszy UE na PKB zróżnicowanie regionalne PKB per capita (NTS3)</w:t>
        </w:r>
        <w:r w:rsidR="00AF36BC" w:rsidRPr="00AF36BC">
          <w:rPr>
            <w:rFonts w:ascii="Arial Nova Cond" w:hAnsi="Arial Nova Cond"/>
            <w:noProof/>
            <w:webHidden/>
          </w:rPr>
          <w:tab/>
        </w:r>
        <w:r w:rsidR="00AF36BC" w:rsidRPr="00AF36BC">
          <w:rPr>
            <w:rFonts w:ascii="Arial Nova Cond" w:hAnsi="Arial Nova Cond"/>
            <w:noProof/>
            <w:webHidden/>
          </w:rPr>
          <w:fldChar w:fldCharType="begin"/>
        </w:r>
        <w:r w:rsidR="00AF36BC" w:rsidRPr="00AF36BC">
          <w:rPr>
            <w:rFonts w:ascii="Arial Nova Cond" w:hAnsi="Arial Nova Cond"/>
            <w:noProof/>
            <w:webHidden/>
          </w:rPr>
          <w:instrText xml:space="preserve"> PAGEREF _Toc173834320 \h </w:instrText>
        </w:r>
        <w:r w:rsidR="00AF36BC" w:rsidRPr="00AF36BC">
          <w:rPr>
            <w:rFonts w:ascii="Arial Nova Cond" w:hAnsi="Arial Nova Cond"/>
            <w:noProof/>
            <w:webHidden/>
          </w:rPr>
        </w:r>
        <w:r w:rsidR="00AF36BC" w:rsidRPr="00AF36BC">
          <w:rPr>
            <w:rFonts w:ascii="Arial Nova Cond" w:hAnsi="Arial Nova Cond"/>
            <w:noProof/>
            <w:webHidden/>
          </w:rPr>
          <w:fldChar w:fldCharType="separate"/>
        </w:r>
        <w:r w:rsidR="00586CF2">
          <w:rPr>
            <w:rFonts w:ascii="Arial Nova Cond" w:hAnsi="Arial Nova Cond"/>
            <w:noProof/>
            <w:webHidden/>
          </w:rPr>
          <w:t>27</w:t>
        </w:r>
        <w:r w:rsidR="00AF36BC" w:rsidRPr="00AF36BC">
          <w:rPr>
            <w:rFonts w:ascii="Arial Nova Cond" w:hAnsi="Arial Nova Cond"/>
            <w:noProof/>
            <w:webHidden/>
          </w:rPr>
          <w:fldChar w:fldCharType="end"/>
        </w:r>
      </w:hyperlink>
    </w:p>
    <w:p w14:paraId="7627D0D4" w14:textId="59A113C4" w:rsidR="00AF36BC" w:rsidRPr="00AF36BC" w:rsidRDefault="00B17C18" w:rsidP="00917386">
      <w:pPr>
        <w:pStyle w:val="Spisilustracji"/>
        <w:tabs>
          <w:tab w:val="right" w:leader="dot" w:pos="9062"/>
        </w:tabs>
        <w:jc w:val="left"/>
        <w:rPr>
          <w:rFonts w:ascii="Arial Nova Cond" w:eastAsiaTheme="minorEastAsia" w:hAnsi="Arial Nova Cond" w:cstheme="minorBidi"/>
          <w:noProof/>
          <w:kern w:val="2"/>
          <w:sz w:val="24"/>
          <w:szCs w:val="24"/>
          <w:lang w:eastAsia="pl-PL"/>
          <w14:ligatures w14:val="standardContextual"/>
        </w:rPr>
      </w:pPr>
      <w:hyperlink w:anchor="_Toc173834321" w:history="1">
        <w:r w:rsidR="00AF36BC" w:rsidRPr="00AF36BC">
          <w:rPr>
            <w:rStyle w:val="Hipercze"/>
            <w:rFonts w:ascii="Arial Nova Cond" w:hAnsi="Arial Nova Cond"/>
            <w:noProof/>
          </w:rPr>
          <w:t>Wykres 12. Wpływ funduszy UE na inwestycje w cenach bieżących</w:t>
        </w:r>
        <w:r w:rsidR="00AF36BC" w:rsidRPr="00AF36BC">
          <w:rPr>
            <w:rFonts w:ascii="Arial Nova Cond" w:hAnsi="Arial Nova Cond"/>
            <w:noProof/>
            <w:webHidden/>
          </w:rPr>
          <w:tab/>
        </w:r>
        <w:r w:rsidR="00AF36BC" w:rsidRPr="00AF36BC">
          <w:rPr>
            <w:rFonts w:ascii="Arial Nova Cond" w:hAnsi="Arial Nova Cond"/>
            <w:noProof/>
            <w:webHidden/>
          </w:rPr>
          <w:fldChar w:fldCharType="begin"/>
        </w:r>
        <w:r w:rsidR="00AF36BC" w:rsidRPr="00AF36BC">
          <w:rPr>
            <w:rFonts w:ascii="Arial Nova Cond" w:hAnsi="Arial Nova Cond"/>
            <w:noProof/>
            <w:webHidden/>
          </w:rPr>
          <w:instrText xml:space="preserve"> PAGEREF _Toc173834321 \h </w:instrText>
        </w:r>
        <w:r w:rsidR="00AF36BC" w:rsidRPr="00AF36BC">
          <w:rPr>
            <w:rFonts w:ascii="Arial Nova Cond" w:hAnsi="Arial Nova Cond"/>
            <w:noProof/>
            <w:webHidden/>
          </w:rPr>
        </w:r>
        <w:r w:rsidR="00AF36BC" w:rsidRPr="00AF36BC">
          <w:rPr>
            <w:rFonts w:ascii="Arial Nova Cond" w:hAnsi="Arial Nova Cond"/>
            <w:noProof/>
            <w:webHidden/>
          </w:rPr>
          <w:fldChar w:fldCharType="separate"/>
        </w:r>
        <w:r w:rsidR="00586CF2">
          <w:rPr>
            <w:rFonts w:ascii="Arial Nova Cond" w:hAnsi="Arial Nova Cond"/>
            <w:noProof/>
            <w:webHidden/>
          </w:rPr>
          <w:t>28</w:t>
        </w:r>
        <w:r w:rsidR="00AF36BC" w:rsidRPr="00AF36BC">
          <w:rPr>
            <w:rFonts w:ascii="Arial Nova Cond" w:hAnsi="Arial Nova Cond"/>
            <w:noProof/>
            <w:webHidden/>
          </w:rPr>
          <w:fldChar w:fldCharType="end"/>
        </w:r>
      </w:hyperlink>
    </w:p>
    <w:p w14:paraId="7083446E" w14:textId="31AB6A28" w:rsidR="00AF36BC" w:rsidRPr="00AF36BC" w:rsidRDefault="00B17C18" w:rsidP="00917386">
      <w:pPr>
        <w:pStyle w:val="Spisilustracji"/>
        <w:tabs>
          <w:tab w:val="right" w:leader="dot" w:pos="9062"/>
        </w:tabs>
        <w:jc w:val="left"/>
        <w:rPr>
          <w:rFonts w:ascii="Arial Nova Cond" w:eastAsiaTheme="minorEastAsia" w:hAnsi="Arial Nova Cond" w:cstheme="minorBidi"/>
          <w:noProof/>
          <w:kern w:val="2"/>
          <w:sz w:val="24"/>
          <w:szCs w:val="24"/>
          <w:lang w:eastAsia="pl-PL"/>
          <w14:ligatures w14:val="standardContextual"/>
        </w:rPr>
      </w:pPr>
      <w:hyperlink w:anchor="_Toc173834322" w:history="1">
        <w:r w:rsidR="00AF36BC" w:rsidRPr="00AF36BC">
          <w:rPr>
            <w:rStyle w:val="Hipercze"/>
            <w:rFonts w:ascii="Arial Nova Cond" w:hAnsi="Arial Nova Cond"/>
            <w:noProof/>
          </w:rPr>
          <w:t>Wykres 13. Wpływ funduszy UE na stopę inwestycji w podziale na inwestycje publiczne i prywatne</w:t>
        </w:r>
        <w:r w:rsidR="00AF36BC" w:rsidRPr="00AF36BC">
          <w:rPr>
            <w:rFonts w:ascii="Arial Nova Cond" w:hAnsi="Arial Nova Cond"/>
            <w:noProof/>
            <w:webHidden/>
          </w:rPr>
          <w:tab/>
        </w:r>
        <w:r w:rsidR="00AF36BC" w:rsidRPr="00AF36BC">
          <w:rPr>
            <w:rFonts w:ascii="Arial Nova Cond" w:hAnsi="Arial Nova Cond"/>
            <w:noProof/>
            <w:webHidden/>
          </w:rPr>
          <w:fldChar w:fldCharType="begin"/>
        </w:r>
        <w:r w:rsidR="00AF36BC" w:rsidRPr="00AF36BC">
          <w:rPr>
            <w:rFonts w:ascii="Arial Nova Cond" w:hAnsi="Arial Nova Cond"/>
            <w:noProof/>
            <w:webHidden/>
          </w:rPr>
          <w:instrText xml:space="preserve"> PAGEREF _Toc173834322 \h </w:instrText>
        </w:r>
        <w:r w:rsidR="00AF36BC" w:rsidRPr="00AF36BC">
          <w:rPr>
            <w:rFonts w:ascii="Arial Nova Cond" w:hAnsi="Arial Nova Cond"/>
            <w:noProof/>
            <w:webHidden/>
          </w:rPr>
        </w:r>
        <w:r w:rsidR="00AF36BC" w:rsidRPr="00AF36BC">
          <w:rPr>
            <w:rFonts w:ascii="Arial Nova Cond" w:hAnsi="Arial Nova Cond"/>
            <w:noProof/>
            <w:webHidden/>
          </w:rPr>
          <w:fldChar w:fldCharType="separate"/>
        </w:r>
        <w:r w:rsidR="00586CF2">
          <w:rPr>
            <w:rFonts w:ascii="Arial Nova Cond" w:hAnsi="Arial Nova Cond"/>
            <w:noProof/>
            <w:webHidden/>
          </w:rPr>
          <w:t>28</w:t>
        </w:r>
        <w:r w:rsidR="00AF36BC" w:rsidRPr="00AF36BC">
          <w:rPr>
            <w:rFonts w:ascii="Arial Nova Cond" w:hAnsi="Arial Nova Cond"/>
            <w:noProof/>
            <w:webHidden/>
          </w:rPr>
          <w:fldChar w:fldCharType="end"/>
        </w:r>
      </w:hyperlink>
    </w:p>
    <w:p w14:paraId="76E5340E" w14:textId="5A3F3AB3" w:rsidR="00AF36BC" w:rsidRPr="00AF36BC" w:rsidRDefault="00B17C18" w:rsidP="00917386">
      <w:pPr>
        <w:pStyle w:val="Spisilustracji"/>
        <w:tabs>
          <w:tab w:val="right" w:leader="dot" w:pos="9062"/>
        </w:tabs>
        <w:jc w:val="left"/>
        <w:rPr>
          <w:rFonts w:ascii="Arial Nova Cond" w:eastAsiaTheme="minorEastAsia" w:hAnsi="Arial Nova Cond" w:cstheme="minorBidi"/>
          <w:noProof/>
          <w:kern w:val="2"/>
          <w:sz w:val="24"/>
          <w:szCs w:val="24"/>
          <w:lang w:eastAsia="pl-PL"/>
          <w14:ligatures w14:val="standardContextual"/>
        </w:rPr>
      </w:pPr>
      <w:hyperlink w:anchor="_Toc173834323" w:history="1">
        <w:r w:rsidR="00AF36BC" w:rsidRPr="00AF36BC">
          <w:rPr>
            <w:rStyle w:val="Hipercze"/>
            <w:rFonts w:ascii="Arial Nova Cond" w:hAnsi="Arial Nova Cond"/>
            <w:noProof/>
          </w:rPr>
          <w:t>Wykres 14. Średni wpływ funduszy UE na inwestycje w regionach (w proc. PKB) w latach 2004-2023 i 2024-2033</w:t>
        </w:r>
        <w:r w:rsidR="00AF36BC" w:rsidRPr="00AF36BC">
          <w:rPr>
            <w:rFonts w:ascii="Arial Nova Cond" w:hAnsi="Arial Nova Cond"/>
            <w:noProof/>
            <w:webHidden/>
          </w:rPr>
          <w:tab/>
        </w:r>
        <w:r w:rsidR="00AF36BC" w:rsidRPr="00AF36BC">
          <w:rPr>
            <w:rFonts w:ascii="Arial Nova Cond" w:hAnsi="Arial Nova Cond"/>
            <w:noProof/>
            <w:webHidden/>
          </w:rPr>
          <w:fldChar w:fldCharType="begin"/>
        </w:r>
        <w:r w:rsidR="00AF36BC" w:rsidRPr="00AF36BC">
          <w:rPr>
            <w:rFonts w:ascii="Arial Nova Cond" w:hAnsi="Arial Nova Cond"/>
            <w:noProof/>
            <w:webHidden/>
          </w:rPr>
          <w:instrText xml:space="preserve"> PAGEREF _Toc173834323 \h </w:instrText>
        </w:r>
        <w:r w:rsidR="00AF36BC" w:rsidRPr="00AF36BC">
          <w:rPr>
            <w:rFonts w:ascii="Arial Nova Cond" w:hAnsi="Arial Nova Cond"/>
            <w:noProof/>
            <w:webHidden/>
          </w:rPr>
        </w:r>
        <w:r w:rsidR="00AF36BC" w:rsidRPr="00AF36BC">
          <w:rPr>
            <w:rFonts w:ascii="Arial Nova Cond" w:hAnsi="Arial Nova Cond"/>
            <w:noProof/>
            <w:webHidden/>
          </w:rPr>
          <w:fldChar w:fldCharType="separate"/>
        </w:r>
        <w:r w:rsidR="00586CF2">
          <w:rPr>
            <w:rFonts w:ascii="Arial Nova Cond" w:hAnsi="Arial Nova Cond"/>
            <w:noProof/>
            <w:webHidden/>
          </w:rPr>
          <w:t>29</w:t>
        </w:r>
        <w:r w:rsidR="00AF36BC" w:rsidRPr="00AF36BC">
          <w:rPr>
            <w:rFonts w:ascii="Arial Nova Cond" w:hAnsi="Arial Nova Cond"/>
            <w:noProof/>
            <w:webHidden/>
          </w:rPr>
          <w:fldChar w:fldCharType="end"/>
        </w:r>
      </w:hyperlink>
    </w:p>
    <w:p w14:paraId="520B0647" w14:textId="32F9B6F8" w:rsidR="00AF36BC" w:rsidRPr="00AF36BC" w:rsidRDefault="00B17C18" w:rsidP="00917386">
      <w:pPr>
        <w:pStyle w:val="Spisilustracji"/>
        <w:tabs>
          <w:tab w:val="right" w:leader="dot" w:pos="9062"/>
        </w:tabs>
        <w:jc w:val="left"/>
        <w:rPr>
          <w:rFonts w:ascii="Arial Nova Cond" w:eastAsiaTheme="minorEastAsia" w:hAnsi="Arial Nova Cond" w:cstheme="minorBidi"/>
          <w:noProof/>
          <w:kern w:val="2"/>
          <w:sz w:val="24"/>
          <w:szCs w:val="24"/>
          <w:lang w:eastAsia="pl-PL"/>
          <w14:ligatures w14:val="standardContextual"/>
        </w:rPr>
      </w:pPr>
      <w:hyperlink w:anchor="_Toc173834324" w:history="1">
        <w:r w:rsidR="00AF36BC" w:rsidRPr="00AF36BC">
          <w:rPr>
            <w:rStyle w:val="Hipercze"/>
            <w:rFonts w:ascii="Arial Nova Cond" w:hAnsi="Arial Nova Cond"/>
            <w:noProof/>
          </w:rPr>
          <w:t>Wykres 15. Wpływ funduszy UE na wydatki na B+R w podziale na publiczne i prywatne</w:t>
        </w:r>
        <w:r w:rsidR="00AF36BC" w:rsidRPr="00AF36BC">
          <w:rPr>
            <w:rFonts w:ascii="Arial Nova Cond" w:hAnsi="Arial Nova Cond"/>
            <w:noProof/>
            <w:webHidden/>
          </w:rPr>
          <w:tab/>
        </w:r>
        <w:r w:rsidR="00AF36BC" w:rsidRPr="00AF36BC">
          <w:rPr>
            <w:rFonts w:ascii="Arial Nova Cond" w:hAnsi="Arial Nova Cond"/>
            <w:noProof/>
            <w:webHidden/>
          </w:rPr>
          <w:fldChar w:fldCharType="begin"/>
        </w:r>
        <w:r w:rsidR="00AF36BC" w:rsidRPr="00AF36BC">
          <w:rPr>
            <w:rFonts w:ascii="Arial Nova Cond" w:hAnsi="Arial Nova Cond"/>
            <w:noProof/>
            <w:webHidden/>
          </w:rPr>
          <w:instrText xml:space="preserve"> PAGEREF _Toc173834324 \h </w:instrText>
        </w:r>
        <w:r w:rsidR="00AF36BC" w:rsidRPr="00AF36BC">
          <w:rPr>
            <w:rFonts w:ascii="Arial Nova Cond" w:hAnsi="Arial Nova Cond"/>
            <w:noProof/>
            <w:webHidden/>
          </w:rPr>
        </w:r>
        <w:r w:rsidR="00AF36BC" w:rsidRPr="00AF36BC">
          <w:rPr>
            <w:rFonts w:ascii="Arial Nova Cond" w:hAnsi="Arial Nova Cond"/>
            <w:noProof/>
            <w:webHidden/>
          </w:rPr>
          <w:fldChar w:fldCharType="separate"/>
        </w:r>
        <w:r w:rsidR="00586CF2">
          <w:rPr>
            <w:rFonts w:ascii="Arial Nova Cond" w:hAnsi="Arial Nova Cond"/>
            <w:noProof/>
            <w:webHidden/>
          </w:rPr>
          <w:t>30</w:t>
        </w:r>
        <w:r w:rsidR="00AF36BC" w:rsidRPr="00AF36BC">
          <w:rPr>
            <w:rFonts w:ascii="Arial Nova Cond" w:hAnsi="Arial Nova Cond"/>
            <w:noProof/>
            <w:webHidden/>
          </w:rPr>
          <w:fldChar w:fldCharType="end"/>
        </w:r>
      </w:hyperlink>
    </w:p>
    <w:p w14:paraId="0BFCC21D" w14:textId="35621529" w:rsidR="00AF36BC" w:rsidRPr="00AF36BC" w:rsidRDefault="00B17C18" w:rsidP="00917386">
      <w:pPr>
        <w:pStyle w:val="Spisilustracji"/>
        <w:tabs>
          <w:tab w:val="right" w:leader="dot" w:pos="9062"/>
        </w:tabs>
        <w:jc w:val="left"/>
        <w:rPr>
          <w:rFonts w:ascii="Arial Nova Cond" w:eastAsiaTheme="minorEastAsia" w:hAnsi="Arial Nova Cond" w:cstheme="minorBidi"/>
          <w:noProof/>
          <w:kern w:val="2"/>
          <w:sz w:val="24"/>
          <w:szCs w:val="24"/>
          <w:lang w:eastAsia="pl-PL"/>
          <w14:ligatures w14:val="standardContextual"/>
        </w:rPr>
      </w:pPr>
      <w:hyperlink w:anchor="_Toc173834325" w:history="1">
        <w:r w:rsidR="00AF36BC" w:rsidRPr="00AF36BC">
          <w:rPr>
            <w:rStyle w:val="Hipercze"/>
            <w:rFonts w:ascii="Arial Nova Cond" w:hAnsi="Arial Nova Cond"/>
            <w:noProof/>
          </w:rPr>
          <w:t>Wykres 16. Wpływ funduszy UE na liczbę pracujących osób 20-64 wg płci</w:t>
        </w:r>
        <w:r w:rsidR="00AF36BC" w:rsidRPr="00AF36BC">
          <w:rPr>
            <w:rFonts w:ascii="Arial Nova Cond" w:hAnsi="Arial Nova Cond"/>
            <w:noProof/>
            <w:webHidden/>
          </w:rPr>
          <w:tab/>
        </w:r>
        <w:r w:rsidR="00AF36BC" w:rsidRPr="00AF36BC">
          <w:rPr>
            <w:rFonts w:ascii="Arial Nova Cond" w:hAnsi="Arial Nova Cond"/>
            <w:noProof/>
            <w:webHidden/>
          </w:rPr>
          <w:fldChar w:fldCharType="begin"/>
        </w:r>
        <w:r w:rsidR="00AF36BC" w:rsidRPr="00AF36BC">
          <w:rPr>
            <w:rFonts w:ascii="Arial Nova Cond" w:hAnsi="Arial Nova Cond"/>
            <w:noProof/>
            <w:webHidden/>
          </w:rPr>
          <w:instrText xml:space="preserve"> PAGEREF _Toc173834325 \h </w:instrText>
        </w:r>
        <w:r w:rsidR="00AF36BC" w:rsidRPr="00AF36BC">
          <w:rPr>
            <w:rFonts w:ascii="Arial Nova Cond" w:hAnsi="Arial Nova Cond"/>
            <w:noProof/>
            <w:webHidden/>
          </w:rPr>
        </w:r>
        <w:r w:rsidR="00AF36BC" w:rsidRPr="00AF36BC">
          <w:rPr>
            <w:rFonts w:ascii="Arial Nova Cond" w:hAnsi="Arial Nova Cond"/>
            <w:noProof/>
            <w:webHidden/>
          </w:rPr>
          <w:fldChar w:fldCharType="separate"/>
        </w:r>
        <w:r w:rsidR="00586CF2">
          <w:rPr>
            <w:rFonts w:ascii="Arial Nova Cond" w:hAnsi="Arial Nova Cond"/>
            <w:noProof/>
            <w:webHidden/>
          </w:rPr>
          <w:t>31</w:t>
        </w:r>
        <w:r w:rsidR="00AF36BC" w:rsidRPr="00AF36BC">
          <w:rPr>
            <w:rFonts w:ascii="Arial Nova Cond" w:hAnsi="Arial Nova Cond"/>
            <w:noProof/>
            <w:webHidden/>
          </w:rPr>
          <w:fldChar w:fldCharType="end"/>
        </w:r>
      </w:hyperlink>
    </w:p>
    <w:p w14:paraId="7AAF90B9" w14:textId="0EE9B217" w:rsidR="00AF36BC" w:rsidRPr="00AF36BC" w:rsidRDefault="00B17C18" w:rsidP="00917386">
      <w:pPr>
        <w:pStyle w:val="Spisilustracji"/>
        <w:tabs>
          <w:tab w:val="right" w:leader="dot" w:pos="9062"/>
        </w:tabs>
        <w:jc w:val="left"/>
        <w:rPr>
          <w:rFonts w:ascii="Arial Nova Cond" w:eastAsiaTheme="minorEastAsia" w:hAnsi="Arial Nova Cond" w:cstheme="minorBidi"/>
          <w:noProof/>
          <w:kern w:val="2"/>
          <w:sz w:val="24"/>
          <w:szCs w:val="24"/>
          <w:lang w:eastAsia="pl-PL"/>
          <w14:ligatures w14:val="standardContextual"/>
        </w:rPr>
      </w:pPr>
      <w:hyperlink w:anchor="_Toc173834326" w:history="1">
        <w:r w:rsidR="00AF36BC" w:rsidRPr="00AF36BC">
          <w:rPr>
            <w:rStyle w:val="Hipercze"/>
            <w:rFonts w:ascii="Arial Nova Cond" w:hAnsi="Arial Nova Cond"/>
            <w:noProof/>
          </w:rPr>
          <w:t>Wykres 17. Średni wpływ funduszy UE na liczbę pracujących w regionach (w proc.) w latach 2004-2023 i 2024-2033</w:t>
        </w:r>
        <w:r w:rsidR="00AF36BC" w:rsidRPr="00AF36BC">
          <w:rPr>
            <w:rFonts w:ascii="Arial Nova Cond" w:hAnsi="Arial Nova Cond"/>
            <w:noProof/>
            <w:webHidden/>
          </w:rPr>
          <w:tab/>
        </w:r>
        <w:r w:rsidR="00AF36BC" w:rsidRPr="00AF36BC">
          <w:rPr>
            <w:rFonts w:ascii="Arial Nova Cond" w:hAnsi="Arial Nova Cond"/>
            <w:noProof/>
            <w:webHidden/>
          </w:rPr>
          <w:fldChar w:fldCharType="begin"/>
        </w:r>
        <w:r w:rsidR="00AF36BC" w:rsidRPr="00AF36BC">
          <w:rPr>
            <w:rFonts w:ascii="Arial Nova Cond" w:hAnsi="Arial Nova Cond"/>
            <w:noProof/>
            <w:webHidden/>
          </w:rPr>
          <w:instrText xml:space="preserve"> PAGEREF _Toc173834326 \h </w:instrText>
        </w:r>
        <w:r w:rsidR="00AF36BC" w:rsidRPr="00AF36BC">
          <w:rPr>
            <w:rFonts w:ascii="Arial Nova Cond" w:hAnsi="Arial Nova Cond"/>
            <w:noProof/>
            <w:webHidden/>
          </w:rPr>
        </w:r>
        <w:r w:rsidR="00AF36BC" w:rsidRPr="00AF36BC">
          <w:rPr>
            <w:rFonts w:ascii="Arial Nova Cond" w:hAnsi="Arial Nova Cond"/>
            <w:noProof/>
            <w:webHidden/>
          </w:rPr>
          <w:fldChar w:fldCharType="separate"/>
        </w:r>
        <w:r w:rsidR="00586CF2">
          <w:rPr>
            <w:rFonts w:ascii="Arial Nova Cond" w:hAnsi="Arial Nova Cond"/>
            <w:noProof/>
            <w:webHidden/>
          </w:rPr>
          <w:t>32</w:t>
        </w:r>
        <w:r w:rsidR="00AF36BC" w:rsidRPr="00AF36BC">
          <w:rPr>
            <w:rFonts w:ascii="Arial Nova Cond" w:hAnsi="Arial Nova Cond"/>
            <w:noProof/>
            <w:webHidden/>
          </w:rPr>
          <w:fldChar w:fldCharType="end"/>
        </w:r>
      </w:hyperlink>
    </w:p>
    <w:p w14:paraId="3C500045" w14:textId="28B5D334" w:rsidR="00AF36BC" w:rsidRPr="00AF36BC" w:rsidRDefault="00B17C18" w:rsidP="00917386">
      <w:pPr>
        <w:pStyle w:val="Spisilustracji"/>
        <w:tabs>
          <w:tab w:val="right" w:leader="dot" w:pos="9062"/>
        </w:tabs>
        <w:jc w:val="left"/>
        <w:rPr>
          <w:rFonts w:ascii="Arial Nova Cond" w:eastAsiaTheme="minorEastAsia" w:hAnsi="Arial Nova Cond" w:cstheme="minorBidi"/>
          <w:noProof/>
          <w:kern w:val="2"/>
          <w:sz w:val="24"/>
          <w:szCs w:val="24"/>
          <w:lang w:eastAsia="pl-PL"/>
          <w14:ligatures w14:val="standardContextual"/>
        </w:rPr>
      </w:pPr>
      <w:hyperlink w:anchor="_Toc173834327" w:history="1">
        <w:r w:rsidR="00AF36BC" w:rsidRPr="00AF36BC">
          <w:rPr>
            <w:rStyle w:val="Hipercze"/>
            <w:rFonts w:ascii="Arial Nova Cond" w:hAnsi="Arial Nova Cond"/>
            <w:noProof/>
          </w:rPr>
          <w:t>Wykres 18. Wpływ funduszy UE na wskaźnik zatrudnienia 20-64</w:t>
        </w:r>
        <w:r w:rsidR="00AF36BC" w:rsidRPr="00AF36BC">
          <w:rPr>
            <w:rFonts w:ascii="Arial Nova Cond" w:hAnsi="Arial Nova Cond"/>
            <w:noProof/>
            <w:webHidden/>
          </w:rPr>
          <w:tab/>
        </w:r>
        <w:r w:rsidR="00AF36BC" w:rsidRPr="00AF36BC">
          <w:rPr>
            <w:rFonts w:ascii="Arial Nova Cond" w:hAnsi="Arial Nova Cond"/>
            <w:noProof/>
            <w:webHidden/>
          </w:rPr>
          <w:fldChar w:fldCharType="begin"/>
        </w:r>
        <w:r w:rsidR="00AF36BC" w:rsidRPr="00AF36BC">
          <w:rPr>
            <w:rFonts w:ascii="Arial Nova Cond" w:hAnsi="Arial Nova Cond"/>
            <w:noProof/>
            <w:webHidden/>
          </w:rPr>
          <w:instrText xml:space="preserve"> PAGEREF _Toc173834327 \h </w:instrText>
        </w:r>
        <w:r w:rsidR="00AF36BC" w:rsidRPr="00AF36BC">
          <w:rPr>
            <w:rFonts w:ascii="Arial Nova Cond" w:hAnsi="Arial Nova Cond"/>
            <w:noProof/>
            <w:webHidden/>
          </w:rPr>
        </w:r>
        <w:r w:rsidR="00AF36BC" w:rsidRPr="00AF36BC">
          <w:rPr>
            <w:rFonts w:ascii="Arial Nova Cond" w:hAnsi="Arial Nova Cond"/>
            <w:noProof/>
            <w:webHidden/>
          </w:rPr>
          <w:fldChar w:fldCharType="separate"/>
        </w:r>
        <w:r w:rsidR="00586CF2">
          <w:rPr>
            <w:rFonts w:ascii="Arial Nova Cond" w:hAnsi="Arial Nova Cond"/>
            <w:noProof/>
            <w:webHidden/>
          </w:rPr>
          <w:t>32</w:t>
        </w:r>
        <w:r w:rsidR="00AF36BC" w:rsidRPr="00AF36BC">
          <w:rPr>
            <w:rFonts w:ascii="Arial Nova Cond" w:hAnsi="Arial Nova Cond"/>
            <w:noProof/>
            <w:webHidden/>
          </w:rPr>
          <w:fldChar w:fldCharType="end"/>
        </w:r>
      </w:hyperlink>
    </w:p>
    <w:p w14:paraId="642722AB" w14:textId="70650893" w:rsidR="00AF36BC" w:rsidRPr="00AF36BC" w:rsidRDefault="00B17C18" w:rsidP="00917386">
      <w:pPr>
        <w:pStyle w:val="Spisilustracji"/>
        <w:tabs>
          <w:tab w:val="right" w:leader="dot" w:pos="9062"/>
        </w:tabs>
        <w:jc w:val="left"/>
        <w:rPr>
          <w:rFonts w:ascii="Arial Nova Cond" w:eastAsiaTheme="minorEastAsia" w:hAnsi="Arial Nova Cond" w:cstheme="minorBidi"/>
          <w:noProof/>
          <w:kern w:val="2"/>
          <w:sz w:val="24"/>
          <w:szCs w:val="24"/>
          <w:lang w:eastAsia="pl-PL"/>
          <w14:ligatures w14:val="standardContextual"/>
        </w:rPr>
      </w:pPr>
      <w:hyperlink w:anchor="_Toc173834328" w:history="1">
        <w:r w:rsidR="00AF36BC" w:rsidRPr="00AF36BC">
          <w:rPr>
            <w:rStyle w:val="Hipercze"/>
            <w:rFonts w:ascii="Arial Nova Cond" w:hAnsi="Arial Nova Cond"/>
            <w:noProof/>
          </w:rPr>
          <w:t>Wykres 19. Średni wpływ funduszy UE na wskaźnik zatrudnienia w regionach (w proc.) w latach 2004-2023 i 2024-2033</w:t>
        </w:r>
        <w:r w:rsidR="00AF36BC" w:rsidRPr="00AF36BC">
          <w:rPr>
            <w:rFonts w:ascii="Arial Nova Cond" w:hAnsi="Arial Nova Cond"/>
            <w:noProof/>
            <w:webHidden/>
          </w:rPr>
          <w:tab/>
        </w:r>
        <w:r w:rsidR="00AF36BC" w:rsidRPr="00AF36BC">
          <w:rPr>
            <w:rFonts w:ascii="Arial Nova Cond" w:hAnsi="Arial Nova Cond"/>
            <w:noProof/>
            <w:webHidden/>
          </w:rPr>
          <w:fldChar w:fldCharType="begin"/>
        </w:r>
        <w:r w:rsidR="00AF36BC" w:rsidRPr="00AF36BC">
          <w:rPr>
            <w:rFonts w:ascii="Arial Nova Cond" w:hAnsi="Arial Nova Cond"/>
            <w:noProof/>
            <w:webHidden/>
          </w:rPr>
          <w:instrText xml:space="preserve"> PAGEREF _Toc173834328 \h </w:instrText>
        </w:r>
        <w:r w:rsidR="00AF36BC" w:rsidRPr="00AF36BC">
          <w:rPr>
            <w:rFonts w:ascii="Arial Nova Cond" w:hAnsi="Arial Nova Cond"/>
            <w:noProof/>
            <w:webHidden/>
          </w:rPr>
        </w:r>
        <w:r w:rsidR="00AF36BC" w:rsidRPr="00AF36BC">
          <w:rPr>
            <w:rFonts w:ascii="Arial Nova Cond" w:hAnsi="Arial Nova Cond"/>
            <w:noProof/>
            <w:webHidden/>
          </w:rPr>
          <w:fldChar w:fldCharType="separate"/>
        </w:r>
        <w:r w:rsidR="00586CF2">
          <w:rPr>
            <w:rFonts w:ascii="Arial Nova Cond" w:hAnsi="Arial Nova Cond"/>
            <w:noProof/>
            <w:webHidden/>
          </w:rPr>
          <w:t>33</w:t>
        </w:r>
        <w:r w:rsidR="00AF36BC" w:rsidRPr="00AF36BC">
          <w:rPr>
            <w:rFonts w:ascii="Arial Nova Cond" w:hAnsi="Arial Nova Cond"/>
            <w:noProof/>
            <w:webHidden/>
          </w:rPr>
          <w:fldChar w:fldCharType="end"/>
        </w:r>
      </w:hyperlink>
    </w:p>
    <w:p w14:paraId="4C69DE86" w14:textId="59EB78BC" w:rsidR="00AF36BC" w:rsidRPr="00AF36BC" w:rsidRDefault="00B17C18" w:rsidP="00917386">
      <w:pPr>
        <w:pStyle w:val="Spisilustracji"/>
        <w:tabs>
          <w:tab w:val="right" w:leader="dot" w:pos="9062"/>
        </w:tabs>
        <w:jc w:val="left"/>
        <w:rPr>
          <w:rFonts w:ascii="Arial Nova Cond" w:eastAsiaTheme="minorEastAsia" w:hAnsi="Arial Nova Cond" w:cstheme="minorBidi"/>
          <w:noProof/>
          <w:kern w:val="2"/>
          <w:sz w:val="24"/>
          <w:szCs w:val="24"/>
          <w:lang w:eastAsia="pl-PL"/>
          <w14:ligatures w14:val="standardContextual"/>
        </w:rPr>
      </w:pPr>
      <w:hyperlink w:anchor="_Toc173834329" w:history="1">
        <w:r w:rsidR="00AF36BC" w:rsidRPr="00AF36BC">
          <w:rPr>
            <w:rStyle w:val="Hipercze"/>
            <w:rFonts w:ascii="Arial Nova Cond" w:hAnsi="Arial Nova Cond"/>
            <w:noProof/>
          </w:rPr>
          <w:t>Wykres 20. Wpływ funduszy UE na stopę bezrobocia 15+</w:t>
        </w:r>
        <w:r w:rsidR="00AF36BC" w:rsidRPr="00AF36BC">
          <w:rPr>
            <w:rFonts w:ascii="Arial Nova Cond" w:hAnsi="Arial Nova Cond"/>
            <w:noProof/>
            <w:webHidden/>
          </w:rPr>
          <w:tab/>
        </w:r>
        <w:r w:rsidR="00AF36BC" w:rsidRPr="00AF36BC">
          <w:rPr>
            <w:rFonts w:ascii="Arial Nova Cond" w:hAnsi="Arial Nova Cond"/>
            <w:noProof/>
            <w:webHidden/>
          </w:rPr>
          <w:fldChar w:fldCharType="begin"/>
        </w:r>
        <w:r w:rsidR="00AF36BC" w:rsidRPr="00AF36BC">
          <w:rPr>
            <w:rFonts w:ascii="Arial Nova Cond" w:hAnsi="Arial Nova Cond"/>
            <w:noProof/>
            <w:webHidden/>
          </w:rPr>
          <w:instrText xml:space="preserve"> PAGEREF _Toc173834329 \h </w:instrText>
        </w:r>
        <w:r w:rsidR="00AF36BC" w:rsidRPr="00AF36BC">
          <w:rPr>
            <w:rFonts w:ascii="Arial Nova Cond" w:hAnsi="Arial Nova Cond"/>
            <w:noProof/>
            <w:webHidden/>
          </w:rPr>
        </w:r>
        <w:r w:rsidR="00AF36BC" w:rsidRPr="00AF36BC">
          <w:rPr>
            <w:rFonts w:ascii="Arial Nova Cond" w:hAnsi="Arial Nova Cond"/>
            <w:noProof/>
            <w:webHidden/>
          </w:rPr>
          <w:fldChar w:fldCharType="separate"/>
        </w:r>
        <w:r w:rsidR="00586CF2">
          <w:rPr>
            <w:rFonts w:ascii="Arial Nova Cond" w:hAnsi="Arial Nova Cond"/>
            <w:noProof/>
            <w:webHidden/>
          </w:rPr>
          <w:t>34</w:t>
        </w:r>
        <w:r w:rsidR="00AF36BC" w:rsidRPr="00AF36BC">
          <w:rPr>
            <w:rFonts w:ascii="Arial Nova Cond" w:hAnsi="Arial Nova Cond"/>
            <w:noProof/>
            <w:webHidden/>
          </w:rPr>
          <w:fldChar w:fldCharType="end"/>
        </w:r>
      </w:hyperlink>
    </w:p>
    <w:p w14:paraId="148AA3CF" w14:textId="6312EBEC" w:rsidR="00AF36BC" w:rsidRPr="00AF36BC" w:rsidRDefault="00B17C18" w:rsidP="00917386">
      <w:pPr>
        <w:pStyle w:val="Spisilustracji"/>
        <w:tabs>
          <w:tab w:val="right" w:leader="dot" w:pos="9062"/>
        </w:tabs>
        <w:jc w:val="left"/>
        <w:rPr>
          <w:rFonts w:ascii="Arial Nova Cond" w:eastAsiaTheme="minorEastAsia" w:hAnsi="Arial Nova Cond" w:cstheme="minorBidi"/>
          <w:noProof/>
          <w:kern w:val="2"/>
          <w:sz w:val="24"/>
          <w:szCs w:val="24"/>
          <w:lang w:eastAsia="pl-PL"/>
          <w14:ligatures w14:val="standardContextual"/>
        </w:rPr>
      </w:pPr>
      <w:hyperlink w:anchor="_Toc173834330" w:history="1">
        <w:r w:rsidR="00AF36BC" w:rsidRPr="00AF36BC">
          <w:rPr>
            <w:rStyle w:val="Hipercze"/>
            <w:rFonts w:ascii="Arial Nova Cond" w:hAnsi="Arial Nova Cond"/>
            <w:noProof/>
          </w:rPr>
          <w:t>Wykres 21. Wpływ funduszy UE na liczbę osób bezrobotnych 15+</w:t>
        </w:r>
        <w:r w:rsidR="00AF36BC" w:rsidRPr="00AF36BC">
          <w:rPr>
            <w:rFonts w:ascii="Arial Nova Cond" w:hAnsi="Arial Nova Cond"/>
            <w:noProof/>
            <w:webHidden/>
          </w:rPr>
          <w:tab/>
        </w:r>
        <w:r w:rsidR="00AF36BC" w:rsidRPr="00AF36BC">
          <w:rPr>
            <w:rFonts w:ascii="Arial Nova Cond" w:hAnsi="Arial Nova Cond"/>
            <w:noProof/>
            <w:webHidden/>
          </w:rPr>
          <w:fldChar w:fldCharType="begin"/>
        </w:r>
        <w:r w:rsidR="00AF36BC" w:rsidRPr="00AF36BC">
          <w:rPr>
            <w:rFonts w:ascii="Arial Nova Cond" w:hAnsi="Arial Nova Cond"/>
            <w:noProof/>
            <w:webHidden/>
          </w:rPr>
          <w:instrText xml:space="preserve"> PAGEREF _Toc173834330 \h </w:instrText>
        </w:r>
        <w:r w:rsidR="00AF36BC" w:rsidRPr="00AF36BC">
          <w:rPr>
            <w:rFonts w:ascii="Arial Nova Cond" w:hAnsi="Arial Nova Cond"/>
            <w:noProof/>
            <w:webHidden/>
          </w:rPr>
        </w:r>
        <w:r w:rsidR="00AF36BC" w:rsidRPr="00AF36BC">
          <w:rPr>
            <w:rFonts w:ascii="Arial Nova Cond" w:hAnsi="Arial Nova Cond"/>
            <w:noProof/>
            <w:webHidden/>
          </w:rPr>
          <w:fldChar w:fldCharType="separate"/>
        </w:r>
        <w:r w:rsidR="00586CF2">
          <w:rPr>
            <w:rFonts w:ascii="Arial Nova Cond" w:hAnsi="Arial Nova Cond"/>
            <w:noProof/>
            <w:webHidden/>
          </w:rPr>
          <w:t>34</w:t>
        </w:r>
        <w:r w:rsidR="00AF36BC" w:rsidRPr="00AF36BC">
          <w:rPr>
            <w:rFonts w:ascii="Arial Nova Cond" w:hAnsi="Arial Nova Cond"/>
            <w:noProof/>
            <w:webHidden/>
          </w:rPr>
          <w:fldChar w:fldCharType="end"/>
        </w:r>
      </w:hyperlink>
    </w:p>
    <w:p w14:paraId="25BAE99C" w14:textId="5E5CB796" w:rsidR="00AF36BC" w:rsidRPr="00AF36BC" w:rsidRDefault="00B17C18" w:rsidP="00917386">
      <w:pPr>
        <w:pStyle w:val="Spisilustracji"/>
        <w:tabs>
          <w:tab w:val="right" w:leader="dot" w:pos="9062"/>
        </w:tabs>
        <w:jc w:val="left"/>
        <w:rPr>
          <w:rFonts w:ascii="Arial Nova Cond" w:eastAsiaTheme="minorEastAsia" w:hAnsi="Arial Nova Cond" w:cstheme="minorBidi"/>
          <w:noProof/>
          <w:kern w:val="2"/>
          <w:sz w:val="24"/>
          <w:szCs w:val="24"/>
          <w:lang w:eastAsia="pl-PL"/>
          <w14:ligatures w14:val="standardContextual"/>
        </w:rPr>
      </w:pPr>
      <w:hyperlink w:anchor="_Toc173834331" w:history="1">
        <w:r w:rsidR="00AF36BC" w:rsidRPr="00AF36BC">
          <w:rPr>
            <w:rStyle w:val="Hipercze"/>
            <w:rFonts w:ascii="Arial Nova Cond" w:hAnsi="Arial Nova Cond"/>
            <w:noProof/>
          </w:rPr>
          <w:t>Wykres 22. Średni wpływ funduszy UE na stopę bezrobocia w regionach (w pkt. proc.) w latach 2004-2023 i 2024-2033</w:t>
        </w:r>
        <w:r w:rsidR="00AF36BC" w:rsidRPr="00AF36BC">
          <w:rPr>
            <w:rFonts w:ascii="Arial Nova Cond" w:hAnsi="Arial Nova Cond"/>
            <w:noProof/>
            <w:webHidden/>
          </w:rPr>
          <w:tab/>
        </w:r>
        <w:r w:rsidR="00AF36BC" w:rsidRPr="00AF36BC">
          <w:rPr>
            <w:rFonts w:ascii="Arial Nova Cond" w:hAnsi="Arial Nova Cond"/>
            <w:noProof/>
            <w:webHidden/>
          </w:rPr>
          <w:fldChar w:fldCharType="begin"/>
        </w:r>
        <w:r w:rsidR="00AF36BC" w:rsidRPr="00AF36BC">
          <w:rPr>
            <w:rFonts w:ascii="Arial Nova Cond" w:hAnsi="Arial Nova Cond"/>
            <w:noProof/>
            <w:webHidden/>
          </w:rPr>
          <w:instrText xml:space="preserve"> PAGEREF _Toc173834331 \h </w:instrText>
        </w:r>
        <w:r w:rsidR="00AF36BC" w:rsidRPr="00AF36BC">
          <w:rPr>
            <w:rFonts w:ascii="Arial Nova Cond" w:hAnsi="Arial Nova Cond"/>
            <w:noProof/>
            <w:webHidden/>
          </w:rPr>
        </w:r>
        <w:r w:rsidR="00AF36BC" w:rsidRPr="00AF36BC">
          <w:rPr>
            <w:rFonts w:ascii="Arial Nova Cond" w:hAnsi="Arial Nova Cond"/>
            <w:noProof/>
            <w:webHidden/>
          </w:rPr>
          <w:fldChar w:fldCharType="separate"/>
        </w:r>
        <w:r w:rsidR="00586CF2">
          <w:rPr>
            <w:rFonts w:ascii="Arial Nova Cond" w:hAnsi="Arial Nova Cond"/>
            <w:noProof/>
            <w:webHidden/>
          </w:rPr>
          <w:t>35</w:t>
        </w:r>
        <w:r w:rsidR="00AF36BC" w:rsidRPr="00AF36BC">
          <w:rPr>
            <w:rFonts w:ascii="Arial Nova Cond" w:hAnsi="Arial Nova Cond"/>
            <w:noProof/>
            <w:webHidden/>
          </w:rPr>
          <w:fldChar w:fldCharType="end"/>
        </w:r>
      </w:hyperlink>
    </w:p>
    <w:p w14:paraId="0EA0BC00" w14:textId="4FFD7A03" w:rsidR="00AF36BC" w:rsidRPr="00AF36BC" w:rsidRDefault="00B17C18" w:rsidP="00917386">
      <w:pPr>
        <w:pStyle w:val="Spisilustracji"/>
        <w:tabs>
          <w:tab w:val="right" w:leader="dot" w:pos="9062"/>
        </w:tabs>
        <w:jc w:val="left"/>
        <w:rPr>
          <w:rFonts w:ascii="Arial Nova Cond" w:eastAsiaTheme="minorEastAsia" w:hAnsi="Arial Nova Cond" w:cstheme="minorBidi"/>
          <w:noProof/>
          <w:kern w:val="2"/>
          <w:sz w:val="24"/>
          <w:szCs w:val="24"/>
          <w:lang w:eastAsia="pl-PL"/>
          <w14:ligatures w14:val="standardContextual"/>
        </w:rPr>
      </w:pPr>
      <w:hyperlink w:anchor="_Toc173834332" w:history="1">
        <w:r w:rsidR="00AF36BC" w:rsidRPr="00AF36BC">
          <w:rPr>
            <w:rStyle w:val="Hipercze"/>
            <w:rFonts w:ascii="Arial Nova Cond" w:hAnsi="Arial Nova Cond"/>
            <w:noProof/>
          </w:rPr>
          <w:t>Wykres 23. Wpływ funduszy UE na produktywność pracy</w:t>
        </w:r>
        <w:r w:rsidR="00AF36BC" w:rsidRPr="00AF36BC">
          <w:rPr>
            <w:rFonts w:ascii="Arial Nova Cond" w:hAnsi="Arial Nova Cond"/>
            <w:noProof/>
            <w:webHidden/>
          </w:rPr>
          <w:tab/>
        </w:r>
        <w:r w:rsidR="00AF36BC" w:rsidRPr="00AF36BC">
          <w:rPr>
            <w:rFonts w:ascii="Arial Nova Cond" w:hAnsi="Arial Nova Cond"/>
            <w:noProof/>
            <w:webHidden/>
          </w:rPr>
          <w:fldChar w:fldCharType="begin"/>
        </w:r>
        <w:r w:rsidR="00AF36BC" w:rsidRPr="00AF36BC">
          <w:rPr>
            <w:rFonts w:ascii="Arial Nova Cond" w:hAnsi="Arial Nova Cond"/>
            <w:noProof/>
            <w:webHidden/>
          </w:rPr>
          <w:instrText xml:space="preserve"> PAGEREF _Toc173834332 \h </w:instrText>
        </w:r>
        <w:r w:rsidR="00AF36BC" w:rsidRPr="00AF36BC">
          <w:rPr>
            <w:rFonts w:ascii="Arial Nova Cond" w:hAnsi="Arial Nova Cond"/>
            <w:noProof/>
            <w:webHidden/>
          </w:rPr>
        </w:r>
        <w:r w:rsidR="00AF36BC" w:rsidRPr="00AF36BC">
          <w:rPr>
            <w:rFonts w:ascii="Arial Nova Cond" w:hAnsi="Arial Nova Cond"/>
            <w:noProof/>
            <w:webHidden/>
          </w:rPr>
          <w:fldChar w:fldCharType="separate"/>
        </w:r>
        <w:r w:rsidR="00586CF2">
          <w:rPr>
            <w:rFonts w:ascii="Arial Nova Cond" w:hAnsi="Arial Nova Cond"/>
            <w:noProof/>
            <w:webHidden/>
          </w:rPr>
          <w:t>36</w:t>
        </w:r>
        <w:r w:rsidR="00AF36BC" w:rsidRPr="00AF36BC">
          <w:rPr>
            <w:rFonts w:ascii="Arial Nova Cond" w:hAnsi="Arial Nova Cond"/>
            <w:noProof/>
            <w:webHidden/>
          </w:rPr>
          <w:fldChar w:fldCharType="end"/>
        </w:r>
      </w:hyperlink>
    </w:p>
    <w:p w14:paraId="4758F390" w14:textId="30DA339D" w:rsidR="00AF36BC" w:rsidRPr="00AF36BC" w:rsidRDefault="00B17C18" w:rsidP="00917386">
      <w:pPr>
        <w:pStyle w:val="Spisilustracji"/>
        <w:tabs>
          <w:tab w:val="right" w:leader="dot" w:pos="9062"/>
        </w:tabs>
        <w:jc w:val="left"/>
        <w:rPr>
          <w:rFonts w:ascii="Arial Nova Cond" w:eastAsiaTheme="minorEastAsia" w:hAnsi="Arial Nova Cond" w:cstheme="minorBidi"/>
          <w:noProof/>
          <w:kern w:val="2"/>
          <w:sz w:val="24"/>
          <w:szCs w:val="24"/>
          <w:lang w:eastAsia="pl-PL"/>
          <w14:ligatures w14:val="standardContextual"/>
        </w:rPr>
      </w:pPr>
      <w:hyperlink w:anchor="_Toc173834333" w:history="1">
        <w:r w:rsidR="00AF36BC" w:rsidRPr="00AF36BC">
          <w:rPr>
            <w:rStyle w:val="Hipercze"/>
            <w:rFonts w:ascii="Arial Nova Cond" w:hAnsi="Arial Nova Cond"/>
            <w:noProof/>
          </w:rPr>
          <w:t>Wykres 24. Średni wpływ funduszy UE na produktywność w regionach (w proc.) w latach 2004-2023 i 2024-2033</w:t>
        </w:r>
        <w:r w:rsidR="00AF36BC" w:rsidRPr="00AF36BC">
          <w:rPr>
            <w:rFonts w:ascii="Arial Nova Cond" w:hAnsi="Arial Nova Cond"/>
            <w:noProof/>
            <w:webHidden/>
          </w:rPr>
          <w:tab/>
        </w:r>
        <w:r w:rsidR="00AF36BC" w:rsidRPr="00AF36BC">
          <w:rPr>
            <w:rFonts w:ascii="Arial Nova Cond" w:hAnsi="Arial Nova Cond"/>
            <w:noProof/>
            <w:webHidden/>
          </w:rPr>
          <w:fldChar w:fldCharType="begin"/>
        </w:r>
        <w:r w:rsidR="00AF36BC" w:rsidRPr="00AF36BC">
          <w:rPr>
            <w:rFonts w:ascii="Arial Nova Cond" w:hAnsi="Arial Nova Cond"/>
            <w:noProof/>
            <w:webHidden/>
          </w:rPr>
          <w:instrText xml:space="preserve"> PAGEREF _Toc173834333 \h </w:instrText>
        </w:r>
        <w:r w:rsidR="00AF36BC" w:rsidRPr="00AF36BC">
          <w:rPr>
            <w:rFonts w:ascii="Arial Nova Cond" w:hAnsi="Arial Nova Cond"/>
            <w:noProof/>
            <w:webHidden/>
          </w:rPr>
        </w:r>
        <w:r w:rsidR="00AF36BC" w:rsidRPr="00AF36BC">
          <w:rPr>
            <w:rFonts w:ascii="Arial Nova Cond" w:hAnsi="Arial Nova Cond"/>
            <w:noProof/>
            <w:webHidden/>
          </w:rPr>
          <w:fldChar w:fldCharType="separate"/>
        </w:r>
        <w:r w:rsidR="00586CF2">
          <w:rPr>
            <w:rFonts w:ascii="Arial Nova Cond" w:hAnsi="Arial Nova Cond"/>
            <w:noProof/>
            <w:webHidden/>
          </w:rPr>
          <w:t>36</w:t>
        </w:r>
        <w:r w:rsidR="00AF36BC" w:rsidRPr="00AF36BC">
          <w:rPr>
            <w:rFonts w:ascii="Arial Nova Cond" w:hAnsi="Arial Nova Cond"/>
            <w:noProof/>
            <w:webHidden/>
          </w:rPr>
          <w:fldChar w:fldCharType="end"/>
        </w:r>
      </w:hyperlink>
    </w:p>
    <w:p w14:paraId="3A84B18E" w14:textId="0C9F3123" w:rsidR="00AF36BC" w:rsidRPr="00AF36BC" w:rsidRDefault="00B17C18" w:rsidP="00917386">
      <w:pPr>
        <w:pStyle w:val="Spisilustracji"/>
        <w:tabs>
          <w:tab w:val="right" w:leader="dot" w:pos="9062"/>
        </w:tabs>
        <w:jc w:val="left"/>
        <w:rPr>
          <w:rFonts w:ascii="Arial Nova Cond" w:eastAsiaTheme="minorEastAsia" w:hAnsi="Arial Nova Cond" w:cstheme="minorBidi"/>
          <w:noProof/>
          <w:kern w:val="2"/>
          <w:sz w:val="24"/>
          <w:szCs w:val="24"/>
          <w:lang w:eastAsia="pl-PL"/>
          <w14:ligatures w14:val="standardContextual"/>
        </w:rPr>
      </w:pPr>
      <w:hyperlink w:anchor="_Toc173834334" w:history="1">
        <w:r w:rsidR="00AF36BC" w:rsidRPr="00AF36BC">
          <w:rPr>
            <w:rStyle w:val="Hipercze"/>
            <w:rFonts w:ascii="Arial Nova Cond" w:hAnsi="Arial Nova Cond"/>
            <w:noProof/>
          </w:rPr>
          <w:t>Wykres 25. Wpływ funduszy UE na dochód do dyspozycji (w proc. UE-27, PPS)</w:t>
        </w:r>
        <w:r w:rsidR="00AF36BC" w:rsidRPr="00AF36BC">
          <w:rPr>
            <w:rFonts w:ascii="Arial Nova Cond" w:hAnsi="Arial Nova Cond"/>
            <w:noProof/>
            <w:webHidden/>
          </w:rPr>
          <w:tab/>
        </w:r>
        <w:r w:rsidR="00AF36BC" w:rsidRPr="00AF36BC">
          <w:rPr>
            <w:rFonts w:ascii="Arial Nova Cond" w:hAnsi="Arial Nova Cond"/>
            <w:noProof/>
            <w:webHidden/>
          </w:rPr>
          <w:fldChar w:fldCharType="begin"/>
        </w:r>
        <w:r w:rsidR="00AF36BC" w:rsidRPr="00AF36BC">
          <w:rPr>
            <w:rFonts w:ascii="Arial Nova Cond" w:hAnsi="Arial Nova Cond"/>
            <w:noProof/>
            <w:webHidden/>
          </w:rPr>
          <w:instrText xml:space="preserve"> PAGEREF _Toc173834334 \h </w:instrText>
        </w:r>
        <w:r w:rsidR="00AF36BC" w:rsidRPr="00AF36BC">
          <w:rPr>
            <w:rFonts w:ascii="Arial Nova Cond" w:hAnsi="Arial Nova Cond"/>
            <w:noProof/>
            <w:webHidden/>
          </w:rPr>
        </w:r>
        <w:r w:rsidR="00AF36BC" w:rsidRPr="00AF36BC">
          <w:rPr>
            <w:rFonts w:ascii="Arial Nova Cond" w:hAnsi="Arial Nova Cond"/>
            <w:noProof/>
            <w:webHidden/>
          </w:rPr>
          <w:fldChar w:fldCharType="separate"/>
        </w:r>
        <w:r w:rsidR="00586CF2">
          <w:rPr>
            <w:rFonts w:ascii="Arial Nova Cond" w:hAnsi="Arial Nova Cond"/>
            <w:noProof/>
            <w:webHidden/>
          </w:rPr>
          <w:t>37</w:t>
        </w:r>
        <w:r w:rsidR="00AF36BC" w:rsidRPr="00AF36BC">
          <w:rPr>
            <w:rFonts w:ascii="Arial Nova Cond" w:hAnsi="Arial Nova Cond"/>
            <w:noProof/>
            <w:webHidden/>
          </w:rPr>
          <w:fldChar w:fldCharType="end"/>
        </w:r>
      </w:hyperlink>
    </w:p>
    <w:p w14:paraId="0F9C710D" w14:textId="5FAFE18C" w:rsidR="00AF36BC" w:rsidRPr="00AF36BC" w:rsidRDefault="00B17C18" w:rsidP="00917386">
      <w:pPr>
        <w:pStyle w:val="Spisilustracji"/>
        <w:tabs>
          <w:tab w:val="right" w:leader="dot" w:pos="9062"/>
        </w:tabs>
        <w:jc w:val="left"/>
        <w:rPr>
          <w:rFonts w:ascii="Arial Nova Cond" w:eastAsiaTheme="minorEastAsia" w:hAnsi="Arial Nova Cond" w:cstheme="minorBidi"/>
          <w:noProof/>
          <w:kern w:val="2"/>
          <w:sz w:val="24"/>
          <w:szCs w:val="24"/>
          <w:lang w:eastAsia="pl-PL"/>
          <w14:ligatures w14:val="standardContextual"/>
        </w:rPr>
      </w:pPr>
      <w:hyperlink w:anchor="_Toc173834335" w:history="1">
        <w:r w:rsidR="00AF36BC" w:rsidRPr="00AF36BC">
          <w:rPr>
            <w:rStyle w:val="Hipercze"/>
            <w:rFonts w:ascii="Arial Nova Cond" w:hAnsi="Arial Nova Cond"/>
            <w:noProof/>
          </w:rPr>
          <w:t>Wykres 26. Wpływ funduszy UE na zagrożenie ubóstwem i wykluczeniem społecznym (przed transferami)</w:t>
        </w:r>
        <w:r w:rsidR="00AF36BC" w:rsidRPr="00AF36BC">
          <w:rPr>
            <w:rFonts w:ascii="Arial Nova Cond" w:hAnsi="Arial Nova Cond"/>
            <w:noProof/>
            <w:webHidden/>
          </w:rPr>
          <w:tab/>
        </w:r>
        <w:r w:rsidR="00AF36BC" w:rsidRPr="00AF36BC">
          <w:rPr>
            <w:rFonts w:ascii="Arial Nova Cond" w:hAnsi="Arial Nova Cond"/>
            <w:noProof/>
            <w:webHidden/>
          </w:rPr>
          <w:fldChar w:fldCharType="begin"/>
        </w:r>
        <w:r w:rsidR="00AF36BC" w:rsidRPr="00AF36BC">
          <w:rPr>
            <w:rFonts w:ascii="Arial Nova Cond" w:hAnsi="Arial Nova Cond"/>
            <w:noProof/>
            <w:webHidden/>
          </w:rPr>
          <w:instrText xml:space="preserve"> PAGEREF _Toc173834335 \h </w:instrText>
        </w:r>
        <w:r w:rsidR="00AF36BC" w:rsidRPr="00AF36BC">
          <w:rPr>
            <w:rFonts w:ascii="Arial Nova Cond" w:hAnsi="Arial Nova Cond"/>
            <w:noProof/>
            <w:webHidden/>
          </w:rPr>
        </w:r>
        <w:r w:rsidR="00AF36BC" w:rsidRPr="00AF36BC">
          <w:rPr>
            <w:rFonts w:ascii="Arial Nova Cond" w:hAnsi="Arial Nova Cond"/>
            <w:noProof/>
            <w:webHidden/>
          </w:rPr>
          <w:fldChar w:fldCharType="separate"/>
        </w:r>
        <w:r w:rsidR="00586CF2">
          <w:rPr>
            <w:rFonts w:ascii="Arial Nova Cond" w:hAnsi="Arial Nova Cond"/>
            <w:noProof/>
            <w:webHidden/>
          </w:rPr>
          <w:t>38</w:t>
        </w:r>
        <w:r w:rsidR="00AF36BC" w:rsidRPr="00AF36BC">
          <w:rPr>
            <w:rFonts w:ascii="Arial Nova Cond" w:hAnsi="Arial Nova Cond"/>
            <w:noProof/>
            <w:webHidden/>
          </w:rPr>
          <w:fldChar w:fldCharType="end"/>
        </w:r>
      </w:hyperlink>
    </w:p>
    <w:p w14:paraId="7FA9B8BD" w14:textId="7311C28B" w:rsidR="00AF36BC" w:rsidRPr="00AF36BC" w:rsidRDefault="00B17C18" w:rsidP="00917386">
      <w:pPr>
        <w:pStyle w:val="Spisilustracji"/>
        <w:tabs>
          <w:tab w:val="right" w:leader="dot" w:pos="9062"/>
        </w:tabs>
        <w:jc w:val="left"/>
        <w:rPr>
          <w:rFonts w:ascii="Arial Nova Cond" w:eastAsiaTheme="minorEastAsia" w:hAnsi="Arial Nova Cond" w:cstheme="minorBidi"/>
          <w:noProof/>
          <w:kern w:val="2"/>
          <w:sz w:val="24"/>
          <w:szCs w:val="24"/>
          <w:lang w:eastAsia="pl-PL"/>
          <w14:ligatures w14:val="standardContextual"/>
        </w:rPr>
      </w:pPr>
      <w:hyperlink w:anchor="_Toc173834336" w:history="1">
        <w:r w:rsidR="00AF36BC" w:rsidRPr="00AF36BC">
          <w:rPr>
            <w:rStyle w:val="Hipercze"/>
            <w:rFonts w:ascii="Arial Nova Cond" w:hAnsi="Arial Nova Cond"/>
            <w:noProof/>
          </w:rPr>
          <w:t>Wykres 27. Wpływ funduszy UE na zagrożenie ubóstwem relatywnym (po transferach społecznych)</w:t>
        </w:r>
        <w:r w:rsidR="00AF36BC" w:rsidRPr="00AF36BC">
          <w:rPr>
            <w:rFonts w:ascii="Arial Nova Cond" w:hAnsi="Arial Nova Cond"/>
            <w:noProof/>
            <w:webHidden/>
          </w:rPr>
          <w:tab/>
        </w:r>
        <w:r w:rsidR="00AF36BC" w:rsidRPr="00AF36BC">
          <w:rPr>
            <w:rFonts w:ascii="Arial Nova Cond" w:hAnsi="Arial Nova Cond"/>
            <w:noProof/>
            <w:webHidden/>
          </w:rPr>
          <w:fldChar w:fldCharType="begin"/>
        </w:r>
        <w:r w:rsidR="00AF36BC" w:rsidRPr="00AF36BC">
          <w:rPr>
            <w:rFonts w:ascii="Arial Nova Cond" w:hAnsi="Arial Nova Cond"/>
            <w:noProof/>
            <w:webHidden/>
          </w:rPr>
          <w:instrText xml:space="preserve"> PAGEREF _Toc173834336 \h </w:instrText>
        </w:r>
        <w:r w:rsidR="00AF36BC" w:rsidRPr="00AF36BC">
          <w:rPr>
            <w:rFonts w:ascii="Arial Nova Cond" w:hAnsi="Arial Nova Cond"/>
            <w:noProof/>
            <w:webHidden/>
          </w:rPr>
        </w:r>
        <w:r w:rsidR="00AF36BC" w:rsidRPr="00AF36BC">
          <w:rPr>
            <w:rFonts w:ascii="Arial Nova Cond" w:hAnsi="Arial Nova Cond"/>
            <w:noProof/>
            <w:webHidden/>
          </w:rPr>
          <w:fldChar w:fldCharType="separate"/>
        </w:r>
        <w:r w:rsidR="00586CF2">
          <w:rPr>
            <w:rFonts w:ascii="Arial Nova Cond" w:hAnsi="Arial Nova Cond"/>
            <w:noProof/>
            <w:webHidden/>
          </w:rPr>
          <w:t>38</w:t>
        </w:r>
        <w:r w:rsidR="00AF36BC" w:rsidRPr="00AF36BC">
          <w:rPr>
            <w:rFonts w:ascii="Arial Nova Cond" w:hAnsi="Arial Nova Cond"/>
            <w:noProof/>
            <w:webHidden/>
          </w:rPr>
          <w:fldChar w:fldCharType="end"/>
        </w:r>
      </w:hyperlink>
    </w:p>
    <w:p w14:paraId="2D2133A1" w14:textId="2B3CF52F" w:rsidR="00AF36BC" w:rsidRPr="00AF36BC" w:rsidRDefault="00B17C18" w:rsidP="00917386">
      <w:pPr>
        <w:pStyle w:val="Spisilustracji"/>
        <w:tabs>
          <w:tab w:val="right" w:leader="dot" w:pos="9062"/>
        </w:tabs>
        <w:jc w:val="left"/>
        <w:rPr>
          <w:rFonts w:ascii="Arial Nova Cond" w:eastAsiaTheme="minorEastAsia" w:hAnsi="Arial Nova Cond" w:cstheme="minorBidi"/>
          <w:noProof/>
          <w:kern w:val="2"/>
          <w:sz w:val="24"/>
          <w:szCs w:val="24"/>
          <w:lang w:eastAsia="pl-PL"/>
          <w14:ligatures w14:val="standardContextual"/>
        </w:rPr>
      </w:pPr>
      <w:hyperlink w:anchor="_Toc173834337" w:history="1">
        <w:r w:rsidR="00AF36BC" w:rsidRPr="00AF36BC">
          <w:rPr>
            <w:rStyle w:val="Hipercze"/>
            <w:rFonts w:ascii="Arial Nova Cond" w:hAnsi="Arial Nova Cond"/>
            <w:noProof/>
          </w:rPr>
          <w:t>Wykres 28. Wpływ funduszy UE na współczynnik Giniego (dochodowy)</w:t>
        </w:r>
        <w:r w:rsidR="00AF36BC" w:rsidRPr="00AF36BC">
          <w:rPr>
            <w:rFonts w:ascii="Arial Nova Cond" w:hAnsi="Arial Nova Cond"/>
            <w:noProof/>
            <w:webHidden/>
          </w:rPr>
          <w:tab/>
        </w:r>
        <w:r w:rsidR="00AF36BC" w:rsidRPr="00AF36BC">
          <w:rPr>
            <w:rFonts w:ascii="Arial Nova Cond" w:hAnsi="Arial Nova Cond"/>
            <w:noProof/>
            <w:webHidden/>
          </w:rPr>
          <w:fldChar w:fldCharType="begin"/>
        </w:r>
        <w:r w:rsidR="00AF36BC" w:rsidRPr="00AF36BC">
          <w:rPr>
            <w:rFonts w:ascii="Arial Nova Cond" w:hAnsi="Arial Nova Cond"/>
            <w:noProof/>
            <w:webHidden/>
          </w:rPr>
          <w:instrText xml:space="preserve"> PAGEREF _Toc173834337 \h </w:instrText>
        </w:r>
        <w:r w:rsidR="00AF36BC" w:rsidRPr="00AF36BC">
          <w:rPr>
            <w:rFonts w:ascii="Arial Nova Cond" w:hAnsi="Arial Nova Cond"/>
            <w:noProof/>
            <w:webHidden/>
          </w:rPr>
        </w:r>
        <w:r w:rsidR="00AF36BC" w:rsidRPr="00AF36BC">
          <w:rPr>
            <w:rFonts w:ascii="Arial Nova Cond" w:hAnsi="Arial Nova Cond"/>
            <w:noProof/>
            <w:webHidden/>
          </w:rPr>
          <w:fldChar w:fldCharType="separate"/>
        </w:r>
        <w:r w:rsidR="00586CF2">
          <w:rPr>
            <w:rFonts w:ascii="Arial Nova Cond" w:hAnsi="Arial Nova Cond"/>
            <w:noProof/>
            <w:webHidden/>
          </w:rPr>
          <w:t>39</w:t>
        </w:r>
        <w:r w:rsidR="00AF36BC" w:rsidRPr="00AF36BC">
          <w:rPr>
            <w:rFonts w:ascii="Arial Nova Cond" w:hAnsi="Arial Nova Cond"/>
            <w:noProof/>
            <w:webHidden/>
          </w:rPr>
          <w:fldChar w:fldCharType="end"/>
        </w:r>
      </w:hyperlink>
    </w:p>
    <w:p w14:paraId="6DC682D3" w14:textId="595F3810" w:rsidR="00AF36BC" w:rsidRDefault="00B17C18" w:rsidP="00917386">
      <w:pPr>
        <w:pStyle w:val="Spisilustracji"/>
        <w:tabs>
          <w:tab w:val="right" w:leader="dot" w:pos="9062"/>
        </w:tabs>
        <w:jc w:val="left"/>
        <w:rPr>
          <w:rFonts w:asciiTheme="minorHAnsi" w:eastAsiaTheme="minorEastAsia" w:hAnsiTheme="minorHAnsi" w:cstheme="minorBidi"/>
          <w:noProof/>
          <w:kern w:val="2"/>
          <w:sz w:val="24"/>
          <w:szCs w:val="24"/>
          <w:lang w:eastAsia="pl-PL"/>
          <w14:ligatures w14:val="standardContextual"/>
        </w:rPr>
      </w:pPr>
      <w:hyperlink w:anchor="_Toc173834338" w:history="1">
        <w:r w:rsidR="00AF36BC" w:rsidRPr="00AF36BC">
          <w:rPr>
            <w:rStyle w:val="Hipercze"/>
            <w:rFonts w:ascii="Arial Nova Cond" w:hAnsi="Arial Nova Cond"/>
            <w:noProof/>
          </w:rPr>
          <w:t>Wykres 29. Wpływ funduszy UE na wynik sektora finansów publicznych (w proc. PKB)</w:t>
        </w:r>
        <w:r w:rsidR="00AF36BC" w:rsidRPr="00AF36BC">
          <w:rPr>
            <w:rFonts w:ascii="Arial Nova Cond" w:hAnsi="Arial Nova Cond"/>
            <w:noProof/>
            <w:webHidden/>
          </w:rPr>
          <w:tab/>
        </w:r>
        <w:r w:rsidR="00AF36BC" w:rsidRPr="00AF36BC">
          <w:rPr>
            <w:rFonts w:ascii="Arial Nova Cond" w:hAnsi="Arial Nova Cond"/>
            <w:noProof/>
            <w:webHidden/>
          </w:rPr>
          <w:fldChar w:fldCharType="begin"/>
        </w:r>
        <w:r w:rsidR="00AF36BC" w:rsidRPr="00AF36BC">
          <w:rPr>
            <w:rFonts w:ascii="Arial Nova Cond" w:hAnsi="Arial Nova Cond"/>
            <w:noProof/>
            <w:webHidden/>
          </w:rPr>
          <w:instrText xml:space="preserve"> PAGEREF _Toc173834338 \h </w:instrText>
        </w:r>
        <w:r w:rsidR="00AF36BC" w:rsidRPr="00AF36BC">
          <w:rPr>
            <w:rFonts w:ascii="Arial Nova Cond" w:hAnsi="Arial Nova Cond"/>
            <w:noProof/>
            <w:webHidden/>
          </w:rPr>
        </w:r>
        <w:r w:rsidR="00AF36BC" w:rsidRPr="00AF36BC">
          <w:rPr>
            <w:rFonts w:ascii="Arial Nova Cond" w:hAnsi="Arial Nova Cond"/>
            <w:noProof/>
            <w:webHidden/>
          </w:rPr>
          <w:fldChar w:fldCharType="separate"/>
        </w:r>
        <w:r w:rsidR="00586CF2">
          <w:rPr>
            <w:rFonts w:ascii="Arial Nova Cond" w:hAnsi="Arial Nova Cond"/>
            <w:noProof/>
            <w:webHidden/>
          </w:rPr>
          <w:t>40</w:t>
        </w:r>
        <w:r w:rsidR="00AF36BC" w:rsidRPr="00AF36BC">
          <w:rPr>
            <w:rFonts w:ascii="Arial Nova Cond" w:hAnsi="Arial Nova Cond"/>
            <w:noProof/>
            <w:webHidden/>
          </w:rPr>
          <w:fldChar w:fldCharType="end"/>
        </w:r>
      </w:hyperlink>
    </w:p>
    <w:p w14:paraId="7395C299" w14:textId="29C60E70" w:rsidR="00AF36BC" w:rsidRDefault="00B17C18" w:rsidP="00917386">
      <w:pPr>
        <w:pStyle w:val="Spisilustracji"/>
        <w:tabs>
          <w:tab w:val="right" w:leader="dot" w:pos="9062"/>
        </w:tabs>
        <w:jc w:val="left"/>
        <w:rPr>
          <w:rFonts w:asciiTheme="minorHAnsi" w:eastAsiaTheme="minorEastAsia" w:hAnsiTheme="minorHAnsi" w:cstheme="minorBidi"/>
          <w:noProof/>
          <w:kern w:val="2"/>
          <w:sz w:val="24"/>
          <w:szCs w:val="24"/>
          <w:lang w:eastAsia="pl-PL"/>
          <w14:ligatures w14:val="standardContextual"/>
        </w:rPr>
      </w:pPr>
      <w:hyperlink w:anchor="_Toc173834339" w:history="1">
        <w:r w:rsidR="00AF36BC" w:rsidRPr="0025514E">
          <w:rPr>
            <w:rStyle w:val="Hipercze"/>
            <w:noProof/>
          </w:rPr>
          <w:t>Wykres 30. Wpływ funduszy UE na dług publiczny (w proc. PKB)</w:t>
        </w:r>
        <w:r w:rsidR="00AF36BC">
          <w:rPr>
            <w:noProof/>
            <w:webHidden/>
          </w:rPr>
          <w:tab/>
        </w:r>
        <w:r w:rsidR="00AF36BC">
          <w:rPr>
            <w:noProof/>
            <w:webHidden/>
          </w:rPr>
          <w:fldChar w:fldCharType="begin"/>
        </w:r>
        <w:r w:rsidR="00AF36BC">
          <w:rPr>
            <w:noProof/>
            <w:webHidden/>
          </w:rPr>
          <w:instrText xml:space="preserve"> PAGEREF _Toc173834339 \h </w:instrText>
        </w:r>
        <w:r w:rsidR="00AF36BC">
          <w:rPr>
            <w:noProof/>
            <w:webHidden/>
          </w:rPr>
        </w:r>
        <w:r w:rsidR="00AF36BC">
          <w:rPr>
            <w:noProof/>
            <w:webHidden/>
          </w:rPr>
          <w:fldChar w:fldCharType="separate"/>
        </w:r>
        <w:r w:rsidR="00586CF2">
          <w:rPr>
            <w:noProof/>
            <w:webHidden/>
          </w:rPr>
          <w:t>40</w:t>
        </w:r>
        <w:r w:rsidR="00AF36BC">
          <w:rPr>
            <w:noProof/>
            <w:webHidden/>
          </w:rPr>
          <w:fldChar w:fldCharType="end"/>
        </w:r>
      </w:hyperlink>
    </w:p>
    <w:p w14:paraId="535761CA" w14:textId="2E69E4D6" w:rsidR="00AF36BC" w:rsidRDefault="00B17C18" w:rsidP="00917386">
      <w:pPr>
        <w:pStyle w:val="Spisilustracji"/>
        <w:tabs>
          <w:tab w:val="right" w:leader="dot" w:pos="9062"/>
        </w:tabs>
        <w:jc w:val="left"/>
        <w:rPr>
          <w:rFonts w:asciiTheme="minorHAnsi" w:eastAsiaTheme="minorEastAsia" w:hAnsiTheme="minorHAnsi" w:cstheme="minorBidi"/>
          <w:noProof/>
          <w:kern w:val="2"/>
          <w:sz w:val="24"/>
          <w:szCs w:val="24"/>
          <w:lang w:eastAsia="pl-PL"/>
          <w14:ligatures w14:val="standardContextual"/>
        </w:rPr>
      </w:pPr>
      <w:hyperlink w:anchor="_Toc173834340" w:history="1">
        <w:r w:rsidR="00AF36BC" w:rsidRPr="0025514E">
          <w:rPr>
            <w:rStyle w:val="Hipercze"/>
            <w:noProof/>
          </w:rPr>
          <w:t>Wykres 31. Wpływ funduszy UE na dynamikę handlu zagranicznego oraz saldo obrotów bieżących</w:t>
        </w:r>
        <w:r w:rsidR="00AF36BC">
          <w:rPr>
            <w:noProof/>
            <w:webHidden/>
          </w:rPr>
          <w:tab/>
        </w:r>
        <w:r w:rsidR="00AF36BC">
          <w:rPr>
            <w:noProof/>
            <w:webHidden/>
          </w:rPr>
          <w:fldChar w:fldCharType="begin"/>
        </w:r>
        <w:r w:rsidR="00AF36BC">
          <w:rPr>
            <w:noProof/>
            <w:webHidden/>
          </w:rPr>
          <w:instrText xml:space="preserve"> PAGEREF _Toc173834340 \h </w:instrText>
        </w:r>
        <w:r w:rsidR="00AF36BC">
          <w:rPr>
            <w:noProof/>
            <w:webHidden/>
          </w:rPr>
        </w:r>
        <w:r w:rsidR="00AF36BC">
          <w:rPr>
            <w:noProof/>
            <w:webHidden/>
          </w:rPr>
          <w:fldChar w:fldCharType="separate"/>
        </w:r>
        <w:r w:rsidR="00586CF2">
          <w:rPr>
            <w:noProof/>
            <w:webHidden/>
          </w:rPr>
          <w:t>41</w:t>
        </w:r>
        <w:r w:rsidR="00AF36BC">
          <w:rPr>
            <w:noProof/>
            <w:webHidden/>
          </w:rPr>
          <w:fldChar w:fldCharType="end"/>
        </w:r>
      </w:hyperlink>
    </w:p>
    <w:p w14:paraId="5A4F661C" w14:textId="363A7351" w:rsidR="00AF36BC" w:rsidRDefault="00B17C18" w:rsidP="00917386">
      <w:pPr>
        <w:pStyle w:val="Spisilustracji"/>
        <w:tabs>
          <w:tab w:val="right" w:leader="dot" w:pos="9062"/>
        </w:tabs>
        <w:jc w:val="left"/>
        <w:rPr>
          <w:rFonts w:asciiTheme="minorHAnsi" w:eastAsiaTheme="minorEastAsia" w:hAnsiTheme="minorHAnsi" w:cstheme="minorBidi"/>
          <w:noProof/>
          <w:kern w:val="2"/>
          <w:sz w:val="24"/>
          <w:szCs w:val="24"/>
          <w:lang w:eastAsia="pl-PL"/>
          <w14:ligatures w14:val="standardContextual"/>
        </w:rPr>
      </w:pPr>
      <w:hyperlink w:anchor="_Toc173834341" w:history="1">
        <w:r w:rsidR="00AF36BC" w:rsidRPr="0025514E">
          <w:rPr>
            <w:rStyle w:val="Hipercze"/>
            <w:noProof/>
          </w:rPr>
          <w:t>Wykres 32. Wpływ funduszy UE na eksport w ujęciu płatniczym</w:t>
        </w:r>
        <w:r w:rsidR="00AF36BC">
          <w:rPr>
            <w:noProof/>
            <w:webHidden/>
          </w:rPr>
          <w:tab/>
        </w:r>
        <w:r w:rsidR="00AF36BC">
          <w:rPr>
            <w:noProof/>
            <w:webHidden/>
          </w:rPr>
          <w:fldChar w:fldCharType="begin"/>
        </w:r>
        <w:r w:rsidR="00AF36BC">
          <w:rPr>
            <w:noProof/>
            <w:webHidden/>
          </w:rPr>
          <w:instrText xml:space="preserve"> PAGEREF _Toc173834341 \h </w:instrText>
        </w:r>
        <w:r w:rsidR="00AF36BC">
          <w:rPr>
            <w:noProof/>
            <w:webHidden/>
          </w:rPr>
        </w:r>
        <w:r w:rsidR="00AF36BC">
          <w:rPr>
            <w:noProof/>
            <w:webHidden/>
          </w:rPr>
          <w:fldChar w:fldCharType="separate"/>
        </w:r>
        <w:r w:rsidR="00586CF2">
          <w:rPr>
            <w:noProof/>
            <w:webHidden/>
          </w:rPr>
          <w:t>42</w:t>
        </w:r>
        <w:r w:rsidR="00AF36BC">
          <w:rPr>
            <w:noProof/>
            <w:webHidden/>
          </w:rPr>
          <w:fldChar w:fldCharType="end"/>
        </w:r>
      </w:hyperlink>
    </w:p>
    <w:p w14:paraId="330D374F" w14:textId="5F819702" w:rsidR="00AF36BC" w:rsidRDefault="00B17C18" w:rsidP="00917386">
      <w:pPr>
        <w:pStyle w:val="Spisilustracji"/>
        <w:tabs>
          <w:tab w:val="right" w:leader="dot" w:pos="9062"/>
        </w:tabs>
        <w:jc w:val="left"/>
        <w:rPr>
          <w:rFonts w:asciiTheme="minorHAnsi" w:eastAsiaTheme="minorEastAsia" w:hAnsiTheme="minorHAnsi" w:cstheme="minorBidi"/>
          <w:noProof/>
          <w:kern w:val="2"/>
          <w:sz w:val="24"/>
          <w:szCs w:val="24"/>
          <w:lang w:eastAsia="pl-PL"/>
          <w14:ligatures w14:val="standardContextual"/>
        </w:rPr>
      </w:pPr>
      <w:hyperlink w:anchor="_Toc173834342" w:history="1">
        <w:r w:rsidR="00AF36BC" w:rsidRPr="0025514E">
          <w:rPr>
            <w:rStyle w:val="Hipercze"/>
            <w:noProof/>
          </w:rPr>
          <w:t>Wykres 33. Wpływ funduszy UE na import w ujęciu płatniczym</w:t>
        </w:r>
        <w:r w:rsidR="00AF36BC">
          <w:rPr>
            <w:noProof/>
            <w:webHidden/>
          </w:rPr>
          <w:tab/>
        </w:r>
        <w:r w:rsidR="00AF36BC">
          <w:rPr>
            <w:noProof/>
            <w:webHidden/>
          </w:rPr>
          <w:fldChar w:fldCharType="begin"/>
        </w:r>
        <w:r w:rsidR="00AF36BC">
          <w:rPr>
            <w:noProof/>
            <w:webHidden/>
          </w:rPr>
          <w:instrText xml:space="preserve"> PAGEREF _Toc173834342 \h </w:instrText>
        </w:r>
        <w:r w:rsidR="00AF36BC">
          <w:rPr>
            <w:noProof/>
            <w:webHidden/>
          </w:rPr>
        </w:r>
        <w:r w:rsidR="00AF36BC">
          <w:rPr>
            <w:noProof/>
            <w:webHidden/>
          </w:rPr>
          <w:fldChar w:fldCharType="separate"/>
        </w:r>
        <w:r w:rsidR="00586CF2">
          <w:rPr>
            <w:noProof/>
            <w:webHidden/>
          </w:rPr>
          <w:t>42</w:t>
        </w:r>
        <w:r w:rsidR="00AF36BC">
          <w:rPr>
            <w:noProof/>
            <w:webHidden/>
          </w:rPr>
          <w:fldChar w:fldCharType="end"/>
        </w:r>
      </w:hyperlink>
    </w:p>
    <w:p w14:paraId="17CC3151" w14:textId="1D0FA433" w:rsidR="00FD0F99" w:rsidRPr="0083752C" w:rsidRDefault="00FD0F99" w:rsidP="00917386">
      <w:pPr>
        <w:jc w:val="left"/>
        <w:rPr>
          <w:rFonts w:asciiTheme="majorHAnsi" w:hAnsiTheme="majorHAnsi" w:cstheme="majorHAnsi"/>
          <w:lang w:val="en-US"/>
        </w:rPr>
      </w:pPr>
      <w:r w:rsidRPr="0083752C">
        <w:rPr>
          <w:rFonts w:asciiTheme="majorHAnsi" w:hAnsiTheme="majorHAnsi" w:cstheme="majorHAnsi"/>
          <w:lang w:val="en-US"/>
        </w:rPr>
        <w:fldChar w:fldCharType="end"/>
      </w:r>
    </w:p>
    <w:p w14:paraId="6D200B38" w14:textId="77777777" w:rsidR="002B3E90" w:rsidRPr="005D14BD" w:rsidRDefault="002B3E90" w:rsidP="00917386">
      <w:pPr>
        <w:pStyle w:val="Nagwek1"/>
        <w:jc w:val="left"/>
        <w:rPr>
          <w:lang w:val="de-DE"/>
        </w:rPr>
      </w:pPr>
      <w:bookmarkStart w:id="106" w:name="_Toc176241634"/>
      <w:r w:rsidRPr="005D14BD">
        <w:rPr>
          <w:lang w:val="de-DE"/>
        </w:rPr>
        <w:t>Spis map</w:t>
      </w:r>
      <w:bookmarkEnd w:id="106"/>
    </w:p>
    <w:p w14:paraId="2AB0B6CB" w14:textId="01C586AE" w:rsidR="00AF36BC" w:rsidRPr="00AF36BC" w:rsidRDefault="002B3E90" w:rsidP="00917386">
      <w:pPr>
        <w:pStyle w:val="Spisilustracji"/>
        <w:tabs>
          <w:tab w:val="right" w:leader="dot" w:pos="9062"/>
        </w:tabs>
        <w:jc w:val="left"/>
        <w:rPr>
          <w:rFonts w:ascii="Arial Nova Cond" w:eastAsiaTheme="minorEastAsia" w:hAnsi="Arial Nova Cond" w:cstheme="minorBidi"/>
          <w:noProof/>
          <w:kern w:val="2"/>
          <w:sz w:val="24"/>
          <w:szCs w:val="24"/>
          <w:lang w:eastAsia="pl-PL"/>
          <w14:ligatures w14:val="standardContextual"/>
        </w:rPr>
      </w:pPr>
      <w:r>
        <w:fldChar w:fldCharType="begin"/>
      </w:r>
      <w:r>
        <w:instrText xml:space="preserve"> TOC \h \z \c "Mapa" </w:instrText>
      </w:r>
      <w:r>
        <w:fldChar w:fldCharType="separate"/>
      </w:r>
      <w:hyperlink w:anchor="_Toc173834343" w:history="1">
        <w:r w:rsidR="00AF36BC" w:rsidRPr="00AF36BC">
          <w:rPr>
            <w:rStyle w:val="Hipercze"/>
            <w:rFonts w:ascii="Arial Nova Cond" w:hAnsi="Arial Nova Cond"/>
            <w:noProof/>
          </w:rPr>
          <w:t>Mapa 1. Udział funduszy UE w PKB województw w latach 2004-2029</w:t>
        </w:r>
        <w:r w:rsidR="00AF36BC" w:rsidRPr="00AF36BC">
          <w:rPr>
            <w:rFonts w:ascii="Arial Nova Cond" w:hAnsi="Arial Nova Cond"/>
            <w:noProof/>
            <w:webHidden/>
          </w:rPr>
          <w:tab/>
        </w:r>
        <w:r w:rsidR="00AF36BC" w:rsidRPr="00AF36BC">
          <w:rPr>
            <w:rFonts w:ascii="Arial Nova Cond" w:hAnsi="Arial Nova Cond"/>
            <w:noProof/>
            <w:webHidden/>
          </w:rPr>
          <w:fldChar w:fldCharType="begin"/>
        </w:r>
        <w:r w:rsidR="00AF36BC" w:rsidRPr="00AF36BC">
          <w:rPr>
            <w:rFonts w:ascii="Arial Nova Cond" w:hAnsi="Arial Nova Cond"/>
            <w:noProof/>
            <w:webHidden/>
          </w:rPr>
          <w:instrText xml:space="preserve"> PAGEREF _Toc173834343 \h </w:instrText>
        </w:r>
        <w:r w:rsidR="00AF36BC" w:rsidRPr="00AF36BC">
          <w:rPr>
            <w:rFonts w:ascii="Arial Nova Cond" w:hAnsi="Arial Nova Cond"/>
            <w:noProof/>
            <w:webHidden/>
          </w:rPr>
        </w:r>
        <w:r w:rsidR="00AF36BC" w:rsidRPr="00AF36BC">
          <w:rPr>
            <w:rFonts w:ascii="Arial Nova Cond" w:hAnsi="Arial Nova Cond"/>
            <w:noProof/>
            <w:webHidden/>
          </w:rPr>
          <w:fldChar w:fldCharType="separate"/>
        </w:r>
        <w:r w:rsidR="00586CF2">
          <w:rPr>
            <w:rFonts w:ascii="Arial Nova Cond" w:hAnsi="Arial Nova Cond"/>
            <w:noProof/>
            <w:webHidden/>
          </w:rPr>
          <w:t>21</w:t>
        </w:r>
        <w:r w:rsidR="00AF36BC" w:rsidRPr="00AF36BC">
          <w:rPr>
            <w:rFonts w:ascii="Arial Nova Cond" w:hAnsi="Arial Nova Cond"/>
            <w:noProof/>
            <w:webHidden/>
          </w:rPr>
          <w:fldChar w:fldCharType="end"/>
        </w:r>
      </w:hyperlink>
    </w:p>
    <w:p w14:paraId="58615AE4" w14:textId="7E537D24" w:rsidR="00AF36BC" w:rsidRPr="00AF36BC" w:rsidRDefault="00B17C18" w:rsidP="00917386">
      <w:pPr>
        <w:pStyle w:val="Spisilustracji"/>
        <w:tabs>
          <w:tab w:val="right" w:leader="dot" w:pos="9062"/>
        </w:tabs>
        <w:jc w:val="left"/>
        <w:rPr>
          <w:rFonts w:ascii="Arial Nova Cond" w:eastAsiaTheme="minorEastAsia" w:hAnsi="Arial Nova Cond" w:cstheme="minorBidi"/>
          <w:noProof/>
          <w:kern w:val="2"/>
          <w:sz w:val="24"/>
          <w:szCs w:val="24"/>
          <w:lang w:eastAsia="pl-PL"/>
          <w14:ligatures w14:val="standardContextual"/>
        </w:rPr>
      </w:pPr>
      <w:hyperlink w:anchor="_Toc173834344" w:history="1">
        <w:r w:rsidR="00AF36BC" w:rsidRPr="00AF36BC">
          <w:rPr>
            <w:rStyle w:val="Hipercze"/>
            <w:rFonts w:ascii="Arial Nova Cond" w:hAnsi="Arial Nova Cond"/>
            <w:noProof/>
          </w:rPr>
          <w:t>Mapa 2. Średni wpływ funduszy UE na PKB województw (w proc.) w latach 2004-2033</w:t>
        </w:r>
        <w:r w:rsidR="00AF36BC" w:rsidRPr="00AF36BC">
          <w:rPr>
            <w:rFonts w:ascii="Arial Nova Cond" w:hAnsi="Arial Nova Cond"/>
            <w:noProof/>
            <w:webHidden/>
          </w:rPr>
          <w:tab/>
        </w:r>
        <w:r w:rsidR="00AF36BC" w:rsidRPr="00AF36BC">
          <w:rPr>
            <w:rFonts w:ascii="Arial Nova Cond" w:hAnsi="Arial Nova Cond"/>
            <w:noProof/>
            <w:webHidden/>
          </w:rPr>
          <w:fldChar w:fldCharType="begin"/>
        </w:r>
        <w:r w:rsidR="00AF36BC" w:rsidRPr="00AF36BC">
          <w:rPr>
            <w:rFonts w:ascii="Arial Nova Cond" w:hAnsi="Arial Nova Cond"/>
            <w:noProof/>
            <w:webHidden/>
          </w:rPr>
          <w:instrText xml:space="preserve"> PAGEREF _Toc173834344 \h </w:instrText>
        </w:r>
        <w:r w:rsidR="00AF36BC" w:rsidRPr="00AF36BC">
          <w:rPr>
            <w:rFonts w:ascii="Arial Nova Cond" w:hAnsi="Arial Nova Cond"/>
            <w:noProof/>
            <w:webHidden/>
          </w:rPr>
        </w:r>
        <w:r w:rsidR="00AF36BC" w:rsidRPr="00AF36BC">
          <w:rPr>
            <w:rFonts w:ascii="Arial Nova Cond" w:hAnsi="Arial Nova Cond"/>
            <w:noProof/>
            <w:webHidden/>
          </w:rPr>
          <w:fldChar w:fldCharType="separate"/>
        </w:r>
        <w:r w:rsidR="00586CF2">
          <w:rPr>
            <w:rFonts w:ascii="Arial Nova Cond" w:hAnsi="Arial Nova Cond"/>
            <w:noProof/>
            <w:webHidden/>
          </w:rPr>
          <w:t>24</w:t>
        </w:r>
        <w:r w:rsidR="00AF36BC" w:rsidRPr="00AF36BC">
          <w:rPr>
            <w:rFonts w:ascii="Arial Nova Cond" w:hAnsi="Arial Nova Cond"/>
            <w:noProof/>
            <w:webHidden/>
          </w:rPr>
          <w:fldChar w:fldCharType="end"/>
        </w:r>
      </w:hyperlink>
    </w:p>
    <w:p w14:paraId="29E8D22B" w14:textId="5852EFE0" w:rsidR="00AF36BC" w:rsidRPr="00AF36BC" w:rsidRDefault="00B17C18" w:rsidP="00917386">
      <w:pPr>
        <w:pStyle w:val="Spisilustracji"/>
        <w:tabs>
          <w:tab w:val="right" w:leader="dot" w:pos="9062"/>
        </w:tabs>
        <w:jc w:val="left"/>
        <w:rPr>
          <w:rFonts w:ascii="Arial Nova Cond" w:eastAsiaTheme="minorEastAsia" w:hAnsi="Arial Nova Cond" w:cstheme="minorBidi"/>
          <w:noProof/>
          <w:kern w:val="2"/>
          <w:sz w:val="24"/>
          <w:szCs w:val="24"/>
          <w:lang w:eastAsia="pl-PL"/>
          <w14:ligatures w14:val="standardContextual"/>
        </w:rPr>
      </w:pPr>
      <w:hyperlink w:anchor="_Toc173834345" w:history="1">
        <w:r w:rsidR="00AF36BC" w:rsidRPr="00AF36BC">
          <w:rPr>
            <w:rStyle w:val="Hipercze"/>
            <w:rFonts w:ascii="Arial Nova Cond" w:hAnsi="Arial Nova Cond"/>
            <w:noProof/>
          </w:rPr>
          <w:t>Mapa 3. Średni wpływ funduszy UE na PKB per capita województw (w proc. UE27) w latach 2004-2033</w:t>
        </w:r>
        <w:r w:rsidR="00AF36BC" w:rsidRPr="00AF36BC">
          <w:rPr>
            <w:rFonts w:ascii="Arial Nova Cond" w:hAnsi="Arial Nova Cond"/>
            <w:noProof/>
            <w:webHidden/>
          </w:rPr>
          <w:tab/>
        </w:r>
        <w:r w:rsidR="00AF36BC" w:rsidRPr="00AF36BC">
          <w:rPr>
            <w:rFonts w:ascii="Arial Nova Cond" w:hAnsi="Arial Nova Cond"/>
            <w:noProof/>
            <w:webHidden/>
          </w:rPr>
          <w:fldChar w:fldCharType="begin"/>
        </w:r>
        <w:r w:rsidR="00AF36BC" w:rsidRPr="00AF36BC">
          <w:rPr>
            <w:rFonts w:ascii="Arial Nova Cond" w:hAnsi="Arial Nova Cond"/>
            <w:noProof/>
            <w:webHidden/>
          </w:rPr>
          <w:instrText xml:space="preserve"> PAGEREF _Toc173834345 \h </w:instrText>
        </w:r>
        <w:r w:rsidR="00AF36BC" w:rsidRPr="00AF36BC">
          <w:rPr>
            <w:rFonts w:ascii="Arial Nova Cond" w:hAnsi="Arial Nova Cond"/>
            <w:noProof/>
            <w:webHidden/>
          </w:rPr>
        </w:r>
        <w:r w:rsidR="00AF36BC" w:rsidRPr="00AF36BC">
          <w:rPr>
            <w:rFonts w:ascii="Arial Nova Cond" w:hAnsi="Arial Nova Cond"/>
            <w:noProof/>
            <w:webHidden/>
          </w:rPr>
          <w:fldChar w:fldCharType="separate"/>
        </w:r>
        <w:r w:rsidR="00586CF2">
          <w:rPr>
            <w:rFonts w:ascii="Arial Nova Cond" w:hAnsi="Arial Nova Cond"/>
            <w:noProof/>
            <w:webHidden/>
          </w:rPr>
          <w:t>26</w:t>
        </w:r>
        <w:r w:rsidR="00AF36BC" w:rsidRPr="00AF36BC">
          <w:rPr>
            <w:rFonts w:ascii="Arial Nova Cond" w:hAnsi="Arial Nova Cond"/>
            <w:noProof/>
            <w:webHidden/>
          </w:rPr>
          <w:fldChar w:fldCharType="end"/>
        </w:r>
      </w:hyperlink>
    </w:p>
    <w:p w14:paraId="63D38054" w14:textId="18EB88C7" w:rsidR="00AF36BC" w:rsidRPr="00AF36BC" w:rsidRDefault="00B17C18" w:rsidP="00917386">
      <w:pPr>
        <w:pStyle w:val="Spisilustracji"/>
        <w:tabs>
          <w:tab w:val="right" w:leader="dot" w:pos="9062"/>
        </w:tabs>
        <w:jc w:val="left"/>
        <w:rPr>
          <w:rFonts w:ascii="Arial Nova Cond" w:eastAsiaTheme="minorEastAsia" w:hAnsi="Arial Nova Cond" w:cstheme="minorBidi"/>
          <w:noProof/>
          <w:kern w:val="2"/>
          <w:sz w:val="24"/>
          <w:szCs w:val="24"/>
          <w:lang w:eastAsia="pl-PL"/>
          <w14:ligatures w14:val="standardContextual"/>
        </w:rPr>
      </w:pPr>
      <w:hyperlink w:anchor="_Toc173834346" w:history="1">
        <w:r w:rsidR="00AF36BC" w:rsidRPr="00AF36BC">
          <w:rPr>
            <w:rStyle w:val="Hipercze"/>
            <w:rFonts w:ascii="Arial Nova Cond" w:hAnsi="Arial Nova Cond"/>
            <w:noProof/>
          </w:rPr>
          <w:t>Mapa 4. Średni wpływ funduszy UE na inwestycje w regionach (w proc. PKB) w latach 2004-2033</w:t>
        </w:r>
        <w:r w:rsidR="00AF36BC" w:rsidRPr="00AF36BC">
          <w:rPr>
            <w:rFonts w:ascii="Arial Nova Cond" w:hAnsi="Arial Nova Cond"/>
            <w:noProof/>
            <w:webHidden/>
          </w:rPr>
          <w:tab/>
        </w:r>
        <w:r w:rsidR="00AF36BC" w:rsidRPr="00AF36BC">
          <w:rPr>
            <w:rFonts w:ascii="Arial Nova Cond" w:hAnsi="Arial Nova Cond"/>
            <w:noProof/>
            <w:webHidden/>
          </w:rPr>
          <w:fldChar w:fldCharType="begin"/>
        </w:r>
        <w:r w:rsidR="00AF36BC" w:rsidRPr="00AF36BC">
          <w:rPr>
            <w:rFonts w:ascii="Arial Nova Cond" w:hAnsi="Arial Nova Cond"/>
            <w:noProof/>
            <w:webHidden/>
          </w:rPr>
          <w:instrText xml:space="preserve"> PAGEREF _Toc173834346 \h </w:instrText>
        </w:r>
        <w:r w:rsidR="00AF36BC" w:rsidRPr="00AF36BC">
          <w:rPr>
            <w:rFonts w:ascii="Arial Nova Cond" w:hAnsi="Arial Nova Cond"/>
            <w:noProof/>
            <w:webHidden/>
          </w:rPr>
        </w:r>
        <w:r w:rsidR="00AF36BC" w:rsidRPr="00AF36BC">
          <w:rPr>
            <w:rFonts w:ascii="Arial Nova Cond" w:hAnsi="Arial Nova Cond"/>
            <w:noProof/>
            <w:webHidden/>
          </w:rPr>
          <w:fldChar w:fldCharType="separate"/>
        </w:r>
        <w:r w:rsidR="00586CF2">
          <w:rPr>
            <w:rFonts w:ascii="Arial Nova Cond" w:hAnsi="Arial Nova Cond"/>
            <w:noProof/>
            <w:webHidden/>
          </w:rPr>
          <w:t>29</w:t>
        </w:r>
        <w:r w:rsidR="00AF36BC" w:rsidRPr="00AF36BC">
          <w:rPr>
            <w:rFonts w:ascii="Arial Nova Cond" w:hAnsi="Arial Nova Cond"/>
            <w:noProof/>
            <w:webHidden/>
          </w:rPr>
          <w:fldChar w:fldCharType="end"/>
        </w:r>
      </w:hyperlink>
    </w:p>
    <w:p w14:paraId="43EF0602" w14:textId="3511C060" w:rsidR="00AF36BC" w:rsidRPr="00AF36BC" w:rsidRDefault="00B17C18" w:rsidP="00917386">
      <w:pPr>
        <w:pStyle w:val="Spisilustracji"/>
        <w:tabs>
          <w:tab w:val="right" w:leader="dot" w:pos="9062"/>
        </w:tabs>
        <w:jc w:val="left"/>
        <w:rPr>
          <w:rFonts w:ascii="Arial Nova Cond" w:eastAsiaTheme="minorEastAsia" w:hAnsi="Arial Nova Cond" w:cstheme="minorBidi"/>
          <w:noProof/>
          <w:kern w:val="2"/>
          <w:sz w:val="24"/>
          <w:szCs w:val="24"/>
          <w:lang w:eastAsia="pl-PL"/>
          <w14:ligatures w14:val="standardContextual"/>
        </w:rPr>
      </w:pPr>
      <w:hyperlink w:anchor="_Toc173834347" w:history="1">
        <w:r w:rsidR="00AF36BC" w:rsidRPr="00AF36BC">
          <w:rPr>
            <w:rStyle w:val="Hipercze"/>
            <w:rFonts w:ascii="Arial Nova Cond" w:hAnsi="Arial Nova Cond"/>
            <w:noProof/>
          </w:rPr>
          <w:t>Mapa 5. Średni wpływ funduszy UE na liczbę pracujących w regionach (w proc.) w latach 2004-2033</w:t>
        </w:r>
        <w:r w:rsidR="00AF36BC" w:rsidRPr="00AF36BC">
          <w:rPr>
            <w:rFonts w:ascii="Arial Nova Cond" w:hAnsi="Arial Nova Cond"/>
            <w:noProof/>
            <w:webHidden/>
          </w:rPr>
          <w:tab/>
        </w:r>
        <w:r w:rsidR="00AF36BC" w:rsidRPr="00AF36BC">
          <w:rPr>
            <w:rFonts w:ascii="Arial Nova Cond" w:hAnsi="Arial Nova Cond"/>
            <w:noProof/>
            <w:webHidden/>
          </w:rPr>
          <w:fldChar w:fldCharType="begin"/>
        </w:r>
        <w:r w:rsidR="00AF36BC" w:rsidRPr="00AF36BC">
          <w:rPr>
            <w:rFonts w:ascii="Arial Nova Cond" w:hAnsi="Arial Nova Cond"/>
            <w:noProof/>
            <w:webHidden/>
          </w:rPr>
          <w:instrText xml:space="preserve"> PAGEREF _Toc173834347 \h </w:instrText>
        </w:r>
        <w:r w:rsidR="00AF36BC" w:rsidRPr="00AF36BC">
          <w:rPr>
            <w:rFonts w:ascii="Arial Nova Cond" w:hAnsi="Arial Nova Cond"/>
            <w:noProof/>
            <w:webHidden/>
          </w:rPr>
        </w:r>
        <w:r w:rsidR="00AF36BC" w:rsidRPr="00AF36BC">
          <w:rPr>
            <w:rFonts w:ascii="Arial Nova Cond" w:hAnsi="Arial Nova Cond"/>
            <w:noProof/>
            <w:webHidden/>
          </w:rPr>
          <w:fldChar w:fldCharType="separate"/>
        </w:r>
        <w:r w:rsidR="00586CF2">
          <w:rPr>
            <w:rFonts w:ascii="Arial Nova Cond" w:hAnsi="Arial Nova Cond"/>
            <w:noProof/>
            <w:webHidden/>
          </w:rPr>
          <w:t>32</w:t>
        </w:r>
        <w:r w:rsidR="00AF36BC" w:rsidRPr="00AF36BC">
          <w:rPr>
            <w:rFonts w:ascii="Arial Nova Cond" w:hAnsi="Arial Nova Cond"/>
            <w:noProof/>
            <w:webHidden/>
          </w:rPr>
          <w:fldChar w:fldCharType="end"/>
        </w:r>
      </w:hyperlink>
    </w:p>
    <w:p w14:paraId="43C65F5B" w14:textId="6B4F2E7D" w:rsidR="00AF36BC" w:rsidRPr="00AF36BC" w:rsidRDefault="00B17C18" w:rsidP="00917386">
      <w:pPr>
        <w:pStyle w:val="Spisilustracji"/>
        <w:tabs>
          <w:tab w:val="right" w:leader="dot" w:pos="9062"/>
        </w:tabs>
        <w:jc w:val="left"/>
        <w:rPr>
          <w:rFonts w:ascii="Arial Nova Cond" w:eastAsiaTheme="minorEastAsia" w:hAnsi="Arial Nova Cond" w:cstheme="minorBidi"/>
          <w:noProof/>
          <w:kern w:val="2"/>
          <w:sz w:val="24"/>
          <w:szCs w:val="24"/>
          <w:lang w:eastAsia="pl-PL"/>
          <w14:ligatures w14:val="standardContextual"/>
        </w:rPr>
      </w:pPr>
      <w:hyperlink w:anchor="_Toc173834348" w:history="1">
        <w:r w:rsidR="00AF36BC" w:rsidRPr="00AF36BC">
          <w:rPr>
            <w:rStyle w:val="Hipercze"/>
            <w:rFonts w:ascii="Arial Nova Cond" w:hAnsi="Arial Nova Cond"/>
            <w:noProof/>
          </w:rPr>
          <w:t>Mapa 6. Średni wpływ funduszy UE na wskaźnik zatrudnienia w regionach (w proc.) w latach 2004-2033</w:t>
        </w:r>
        <w:r w:rsidR="00AF36BC" w:rsidRPr="00AF36BC">
          <w:rPr>
            <w:rFonts w:ascii="Arial Nova Cond" w:hAnsi="Arial Nova Cond"/>
            <w:noProof/>
            <w:webHidden/>
          </w:rPr>
          <w:tab/>
        </w:r>
        <w:r w:rsidR="00AF36BC" w:rsidRPr="00AF36BC">
          <w:rPr>
            <w:rFonts w:ascii="Arial Nova Cond" w:hAnsi="Arial Nova Cond"/>
            <w:noProof/>
            <w:webHidden/>
          </w:rPr>
          <w:fldChar w:fldCharType="begin"/>
        </w:r>
        <w:r w:rsidR="00AF36BC" w:rsidRPr="00AF36BC">
          <w:rPr>
            <w:rFonts w:ascii="Arial Nova Cond" w:hAnsi="Arial Nova Cond"/>
            <w:noProof/>
            <w:webHidden/>
          </w:rPr>
          <w:instrText xml:space="preserve"> PAGEREF _Toc173834348 \h </w:instrText>
        </w:r>
        <w:r w:rsidR="00AF36BC" w:rsidRPr="00AF36BC">
          <w:rPr>
            <w:rFonts w:ascii="Arial Nova Cond" w:hAnsi="Arial Nova Cond"/>
            <w:noProof/>
            <w:webHidden/>
          </w:rPr>
        </w:r>
        <w:r w:rsidR="00AF36BC" w:rsidRPr="00AF36BC">
          <w:rPr>
            <w:rFonts w:ascii="Arial Nova Cond" w:hAnsi="Arial Nova Cond"/>
            <w:noProof/>
            <w:webHidden/>
          </w:rPr>
          <w:fldChar w:fldCharType="separate"/>
        </w:r>
        <w:r w:rsidR="00586CF2">
          <w:rPr>
            <w:rFonts w:ascii="Arial Nova Cond" w:hAnsi="Arial Nova Cond"/>
            <w:noProof/>
            <w:webHidden/>
          </w:rPr>
          <w:t>33</w:t>
        </w:r>
        <w:r w:rsidR="00AF36BC" w:rsidRPr="00AF36BC">
          <w:rPr>
            <w:rFonts w:ascii="Arial Nova Cond" w:hAnsi="Arial Nova Cond"/>
            <w:noProof/>
            <w:webHidden/>
          </w:rPr>
          <w:fldChar w:fldCharType="end"/>
        </w:r>
      </w:hyperlink>
    </w:p>
    <w:p w14:paraId="2C44FDBA" w14:textId="4599E527" w:rsidR="00AF36BC" w:rsidRPr="00AF36BC" w:rsidRDefault="00B17C18" w:rsidP="00917386">
      <w:pPr>
        <w:pStyle w:val="Spisilustracji"/>
        <w:tabs>
          <w:tab w:val="right" w:leader="dot" w:pos="9062"/>
        </w:tabs>
        <w:jc w:val="left"/>
        <w:rPr>
          <w:rFonts w:ascii="Arial Nova Cond" w:eastAsiaTheme="minorEastAsia" w:hAnsi="Arial Nova Cond" w:cstheme="minorBidi"/>
          <w:noProof/>
          <w:kern w:val="2"/>
          <w:sz w:val="24"/>
          <w:szCs w:val="24"/>
          <w:lang w:eastAsia="pl-PL"/>
          <w14:ligatures w14:val="standardContextual"/>
        </w:rPr>
      </w:pPr>
      <w:hyperlink w:anchor="_Toc173834349" w:history="1">
        <w:r w:rsidR="00AF36BC" w:rsidRPr="00AF36BC">
          <w:rPr>
            <w:rStyle w:val="Hipercze"/>
            <w:rFonts w:ascii="Arial Nova Cond" w:hAnsi="Arial Nova Cond"/>
            <w:noProof/>
          </w:rPr>
          <w:t>Mapa 7. Średni wpływ funduszy UE na stopę bezrobocia w regionach (w pkt. proc.) w latach 2004-2033</w:t>
        </w:r>
        <w:r w:rsidR="00AF36BC" w:rsidRPr="00AF36BC">
          <w:rPr>
            <w:rFonts w:ascii="Arial Nova Cond" w:hAnsi="Arial Nova Cond"/>
            <w:noProof/>
            <w:webHidden/>
          </w:rPr>
          <w:tab/>
        </w:r>
        <w:r w:rsidR="00AF36BC" w:rsidRPr="00AF36BC">
          <w:rPr>
            <w:rFonts w:ascii="Arial Nova Cond" w:hAnsi="Arial Nova Cond"/>
            <w:noProof/>
            <w:webHidden/>
          </w:rPr>
          <w:fldChar w:fldCharType="begin"/>
        </w:r>
        <w:r w:rsidR="00AF36BC" w:rsidRPr="00AF36BC">
          <w:rPr>
            <w:rFonts w:ascii="Arial Nova Cond" w:hAnsi="Arial Nova Cond"/>
            <w:noProof/>
            <w:webHidden/>
          </w:rPr>
          <w:instrText xml:space="preserve"> PAGEREF _Toc173834349 \h </w:instrText>
        </w:r>
        <w:r w:rsidR="00AF36BC" w:rsidRPr="00AF36BC">
          <w:rPr>
            <w:rFonts w:ascii="Arial Nova Cond" w:hAnsi="Arial Nova Cond"/>
            <w:noProof/>
            <w:webHidden/>
          </w:rPr>
        </w:r>
        <w:r w:rsidR="00AF36BC" w:rsidRPr="00AF36BC">
          <w:rPr>
            <w:rFonts w:ascii="Arial Nova Cond" w:hAnsi="Arial Nova Cond"/>
            <w:noProof/>
            <w:webHidden/>
          </w:rPr>
          <w:fldChar w:fldCharType="separate"/>
        </w:r>
        <w:r w:rsidR="00586CF2">
          <w:rPr>
            <w:rFonts w:ascii="Arial Nova Cond" w:hAnsi="Arial Nova Cond"/>
            <w:noProof/>
            <w:webHidden/>
          </w:rPr>
          <w:t>35</w:t>
        </w:r>
        <w:r w:rsidR="00AF36BC" w:rsidRPr="00AF36BC">
          <w:rPr>
            <w:rFonts w:ascii="Arial Nova Cond" w:hAnsi="Arial Nova Cond"/>
            <w:noProof/>
            <w:webHidden/>
          </w:rPr>
          <w:fldChar w:fldCharType="end"/>
        </w:r>
      </w:hyperlink>
    </w:p>
    <w:p w14:paraId="6DC68FF9" w14:textId="00815899" w:rsidR="00AF36BC" w:rsidRPr="00AF36BC" w:rsidRDefault="00B17C18" w:rsidP="00917386">
      <w:pPr>
        <w:pStyle w:val="Spisilustracji"/>
        <w:tabs>
          <w:tab w:val="right" w:leader="dot" w:pos="9062"/>
        </w:tabs>
        <w:jc w:val="left"/>
        <w:rPr>
          <w:rFonts w:ascii="Arial Nova Cond" w:eastAsiaTheme="minorEastAsia" w:hAnsi="Arial Nova Cond" w:cstheme="minorBidi"/>
          <w:noProof/>
          <w:kern w:val="2"/>
          <w:sz w:val="24"/>
          <w:szCs w:val="24"/>
          <w:lang w:eastAsia="pl-PL"/>
          <w14:ligatures w14:val="standardContextual"/>
        </w:rPr>
      </w:pPr>
      <w:hyperlink w:anchor="_Toc173834350" w:history="1">
        <w:r w:rsidR="00AF36BC" w:rsidRPr="00AF36BC">
          <w:rPr>
            <w:rStyle w:val="Hipercze"/>
            <w:rFonts w:ascii="Arial Nova Cond" w:hAnsi="Arial Nova Cond"/>
            <w:noProof/>
          </w:rPr>
          <w:t>Mapa 8. Średni wpływ funduszy UE na produktywność w regionach (w proc.) w latach 2004-2033</w:t>
        </w:r>
        <w:r w:rsidR="00AF36BC" w:rsidRPr="00AF36BC">
          <w:rPr>
            <w:rFonts w:ascii="Arial Nova Cond" w:hAnsi="Arial Nova Cond"/>
            <w:noProof/>
            <w:webHidden/>
          </w:rPr>
          <w:tab/>
        </w:r>
        <w:r w:rsidR="00AF36BC" w:rsidRPr="00AF36BC">
          <w:rPr>
            <w:rFonts w:ascii="Arial Nova Cond" w:hAnsi="Arial Nova Cond"/>
            <w:noProof/>
            <w:webHidden/>
          </w:rPr>
          <w:fldChar w:fldCharType="begin"/>
        </w:r>
        <w:r w:rsidR="00AF36BC" w:rsidRPr="00AF36BC">
          <w:rPr>
            <w:rFonts w:ascii="Arial Nova Cond" w:hAnsi="Arial Nova Cond"/>
            <w:noProof/>
            <w:webHidden/>
          </w:rPr>
          <w:instrText xml:space="preserve"> PAGEREF _Toc173834350 \h </w:instrText>
        </w:r>
        <w:r w:rsidR="00AF36BC" w:rsidRPr="00AF36BC">
          <w:rPr>
            <w:rFonts w:ascii="Arial Nova Cond" w:hAnsi="Arial Nova Cond"/>
            <w:noProof/>
            <w:webHidden/>
          </w:rPr>
        </w:r>
        <w:r w:rsidR="00AF36BC" w:rsidRPr="00AF36BC">
          <w:rPr>
            <w:rFonts w:ascii="Arial Nova Cond" w:hAnsi="Arial Nova Cond"/>
            <w:noProof/>
            <w:webHidden/>
          </w:rPr>
          <w:fldChar w:fldCharType="separate"/>
        </w:r>
        <w:r w:rsidR="00586CF2">
          <w:rPr>
            <w:rFonts w:ascii="Arial Nova Cond" w:hAnsi="Arial Nova Cond"/>
            <w:noProof/>
            <w:webHidden/>
          </w:rPr>
          <w:t>36</w:t>
        </w:r>
        <w:r w:rsidR="00AF36BC" w:rsidRPr="00AF36BC">
          <w:rPr>
            <w:rFonts w:ascii="Arial Nova Cond" w:hAnsi="Arial Nova Cond"/>
            <w:noProof/>
            <w:webHidden/>
          </w:rPr>
          <w:fldChar w:fldCharType="end"/>
        </w:r>
      </w:hyperlink>
    </w:p>
    <w:p w14:paraId="4F06639C" w14:textId="758E47A1" w:rsidR="00F41DE2" w:rsidRDefault="002B3E90" w:rsidP="00F15187">
      <w:pPr>
        <w:spacing w:after="0"/>
        <w:jc w:val="left"/>
      </w:pPr>
      <w:r>
        <w:fldChar w:fldCharType="end"/>
      </w:r>
    </w:p>
    <w:p w14:paraId="7A3686C8" w14:textId="285DF916" w:rsidR="00F41DE2" w:rsidRPr="005D14BD" w:rsidRDefault="002B3E90" w:rsidP="00917386">
      <w:pPr>
        <w:pStyle w:val="Nagwek1"/>
        <w:jc w:val="left"/>
        <w:rPr>
          <w:lang w:val="de-DE"/>
        </w:rPr>
      </w:pPr>
      <w:bookmarkStart w:id="107" w:name="_Toc176241635"/>
      <w:r w:rsidRPr="005D14BD">
        <w:rPr>
          <w:lang w:val="de-DE"/>
        </w:rPr>
        <w:lastRenderedPageBreak/>
        <w:t>Spis schematów</w:t>
      </w:r>
      <w:bookmarkEnd w:id="107"/>
    </w:p>
    <w:p w14:paraId="56973040" w14:textId="4FB2D85E" w:rsidR="00AF36BC" w:rsidRPr="00AF36BC" w:rsidRDefault="002B3E90" w:rsidP="00917386">
      <w:pPr>
        <w:pStyle w:val="Spisilustracji"/>
        <w:tabs>
          <w:tab w:val="right" w:leader="dot" w:pos="9062"/>
        </w:tabs>
        <w:jc w:val="left"/>
        <w:rPr>
          <w:rFonts w:ascii="Arial Nova Cond" w:eastAsiaTheme="minorEastAsia" w:hAnsi="Arial Nova Cond" w:cstheme="minorBidi"/>
          <w:noProof/>
          <w:kern w:val="2"/>
          <w:sz w:val="24"/>
          <w:szCs w:val="24"/>
          <w:lang w:eastAsia="pl-PL"/>
          <w14:ligatures w14:val="standardContextual"/>
        </w:rPr>
      </w:pPr>
      <w:r w:rsidRPr="00AF36BC">
        <w:rPr>
          <w:rFonts w:ascii="Arial Nova Cond" w:hAnsi="Arial Nova Cond"/>
        </w:rPr>
        <w:fldChar w:fldCharType="begin"/>
      </w:r>
      <w:r w:rsidRPr="00AF36BC">
        <w:rPr>
          <w:rFonts w:ascii="Arial Nova Cond" w:hAnsi="Arial Nova Cond"/>
        </w:rPr>
        <w:instrText xml:space="preserve"> TOC \h \z \c "Schemat" </w:instrText>
      </w:r>
      <w:r w:rsidRPr="00AF36BC">
        <w:rPr>
          <w:rFonts w:ascii="Arial Nova Cond" w:hAnsi="Arial Nova Cond"/>
        </w:rPr>
        <w:fldChar w:fldCharType="separate"/>
      </w:r>
      <w:hyperlink w:anchor="_Toc173834351" w:history="1">
        <w:r w:rsidR="00AF36BC" w:rsidRPr="00AF36BC">
          <w:rPr>
            <w:rStyle w:val="Hipercze"/>
            <w:rFonts w:ascii="Arial Nova Cond" w:hAnsi="Arial Nova Cond"/>
            <w:noProof/>
          </w:rPr>
          <w:t>Schemat 1. Struktura modelu WISE VESPA3</w:t>
        </w:r>
        <w:r w:rsidR="00AF36BC" w:rsidRPr="00AF36BC">
          <w:rPr>
            <w:rFonts w:ascii="Arial Nova Cond" w:hAnsi="Arial Nova Cond"/>
            <w:noProof/>
            <w:webHidden/>
          </w:rPr>
          <w:tab/>
        </w:r>
        <w:r w:rsidR="00AF36BC" w:rsidRPr="00AF36BC">
          <w:rPr>
            <w:rFonts w:ascii="Arial Nova Cond" w:hAnsi="Arial Nova Cond"/>
            <w:noProof/>
            <w:webHidden/>
          </w:rPr>
          <w:fldChar w:fldCharType="begin"/>
        </w:r>
        <w:r w:rsidR="00AF36BC" w:rsidRPr="00AF36BC">
          <w:rPr>
            <w:rFonts w:ascii="Arial Nova Cond" w:hAnsi="Arial Nova Cond"/>
            <w:noProof/>
            <w:webHidden/>
          </w:rPr>
          <w:instrText xml:space="preserve"> PAGEREF _Toc173834351 \h </w:instrText>
        </w:r>
        <w:r w:rsidR="00AF36BC" w:rsidRPr="00AF36BC">
          <w:rPr>
            <w:rFonts w:ascii="Arial Nova Cond" w:hAnsi="Arial Nova Cond"/>
            <w:noProof/>
            <w:webHidden/>
          </w:rPr>
        </w:r>
        <w:r w:rsidR="00AF36BC" w:rsidRPr="00AF36BC">
          <w:rPr>
            <w:rFonts w:ascii="Arial Nova Cond" w:hAnsi="Arial Nova Cond"/>
            <w:noProof/>
            <w:webHidden/>
          </w:rPr>
          <w:fldChar w:fldCharType="separate"/>
        </w:r>
        <w:r w:rsidR="00586CF2">
          <w:rPr>
            <w:rFonts w:ascii="Arial Nova Cond" w:hAnsi="Arial Nova Cond"/>
            <w:noProof/>
            <w:webHidden/>
          </w:rPr>
          <w:t>12</w:t>
        </w:r>
        <w:r w:rsidR="00AF36BC" w:rsidRPr="00AF36BC">
          <w:rPr>
            <w:rFonts w:ascii="Arial Nova Cond" w:hAnsi="Arial Nova Cond"/>
            <w:noProof/>
            <w:webHidden/>
          </w:rPr>
          <w:fldChar w:fldCharType="end"/>
        </w:r>
      </w:hyperlink>
    </w:p>
    <w:p w14:paraId="0122F360" w14:textId="4BFC464E" w:rsidR="00AF36BC" w:rsidRPr="00AF36BC" w:rsidRDefault="00B17C18" w:rsidP="00917386">
      <w:pPr>
        <w:pStyle w:val="Spisilustracji"/>
        <w:tabs>
          <w:tab w:val="right" w:leader="dot" w:pos="9062"/>
        </w:tabs>
        <w:jc w:val="left"/>
        <w:rPr>
          <w:rFonts w:ascii="Arial Nova Cond" w:eastAsiaTheme="minorEastAsia" w:hAnsi="Arial Nova Cond" w:cstheme="minorBidi"/>
          <w:noProof/>
          <w:kern w:val="2"/>
          <w:sz w:val="24"/>
          <w:szCs w:val="24"/>
          <w:lang w:eastAsia="pl-PL"/>
          <w14:ligatures w14:val="standardContextual"/>
        </w:rPr>
      </w:pPr>
      <w:hyperlink w:anchor="_Toc173834352" w:history="1">
        <w:r w:rsidR="00AF36BC" w:rsidRPr="00AF36BC">
          <w:rPr>
            <w:rStyle w:val="Hipercze"/>
            <w:rFonts w:ascii="Arial Nova Cond" w:hAnsi="Arial Nova Cond"/>
            <w:noProof/>
          </w:rPr>
          <w:t>Schemat 2. Modele krajowe i regionalne w VESPA</w:t>
        </w:r>
        <w:r w:rsidR="00AF36BC" w:rsidRPr="00AF36BC">
          <w:rPr>
            <w:rFonts w:ascii="Arial Nova Cond" w:hAnsi="Arial Nova Cond"/>
            <w:noProof/>
            <w:webHidden/>
          </w:rPr>
          <w:tab/>
        </w:r>
        <w:r w:rsidR="00AF36BC" w:rsidRPr="00AF36BC">
          <w:rPr>
            <w:rFonts w:ascii="Arial Nova Cond" w:hAnsi="Arial Nova Cond"/>
            <w:noProof/>
            <w:webHidden/>
          </w:rPr>
          <w:fldChar w:fldCharType="begin"/>
        </w:r>
        <w:r w:rsidR="00AF36BC" w:rsidRPr="00AF36BC">
          <w:rPr>
            <w:rFonts w:ascii="Arial Nova Cond" w:hAnsi="Arial Nova Cond"/>
            <w:noProof/>
            <w:webHidden/>
          </w:rPr>
          <w:instrText xml:space="preserve"> PAGEREF _Toc173834352 \h </w:instrText>
        </w:r>
        <w:r w:rsidR="00AF36BC" w:rsidRPr="00AF36BC">
          <w:rPr>
            <w:rFonts w:ascii="Arial Nova Cond" w:hAnsi="Arial Nova Cond"/>
            <w:noProof/>
            <w:webHidden/>
          </w:rPr>
        </w:r>
        <w:r w:rsidR="00AF36BC" w:rsidRPr="00AF36BC">
          <w:rPr>
            <w:rFonts w:ascii="Arial Nova Cond" w:hAnsi="Arial Nova Cond"/>
            <w:noProof/>
            <w:webHidden/>
          </w:rPr>
          <w:fldChar w:fldCharType="separate"/>
        </w:r>
        <w:r w:rsidR="00586CF2">
          <w:rPr>
            <w:rFonts w:ascii="Arial Nova Cond" w:hAnsi="Arial Nova Cond"/>
            <w:noProof/>
            <w:webHidden/>
          </w:rPr>
          <w:t>14</w:t>
        </w:r>
        <w:r w:rsidR="00AF36BC" w:rsidRPr="00AF36BC">
          <w:rPr>
            <w:rFonts w:ascii="Arial Nova Cond" w:hAnsi="Arial Nova Cond"/>
            <w:noProof/>
            <w:webHidden/>
          </w:rPr>
          <w:fldChar w:fldCharType="end"/>
        </w:r>
      </w:hyperlink>
    </w:p>
    <w:p w14:paraId="776B892D" w14:textId="34DF6179" w:rsidR="002B3E90" w:rsidRPr="00B56B68" w:rsidRDefault="002B3E90" w:rsidP="00917386">
      <w:pPr>
        <w:jc w:val="left"/>
      </w:pPr>
      <w:r w:rsidRPr="00AF36BC">
        <w:rPr>
          <w:rFonts w:ascii="Arial Nova Cond" w:hAnsi="Arial Nova Cond"/>
        </w:rPr>
        <w:fldChar w:fldCharType="end"/>
      </w:r>
    </w:p>
    <w:sectPr w:rsidR="002B3E90" w:rsidRPr="00B56B68" w:rsidSect="00B56B6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FA8EBC" w14:textId="77777777" w:rsidR="000F173E" w:rsidRDefault="000F173E" w:rsidP="00BA4AFD">
      <w:pPr>
        <w:spacing w:after="0"/>
      </w:pPr>
      <w:r>
        <w:separator/>
      </w:r>
    </w:p>
  </w:endnote>
  <w:endnote w:type="continuationSeparator" w:id="0">
    <w:p w14:paraId="008E8CCD" w14:textId="77777777" w:rsidR="000F173E" w:rsidRDefault="000F173E" w:rsidP="00BA4AFD">
      <w:pPr>
        <w:spacing w:after="0"/>
      </w:pPr>
      <w:r>
        <w:continuationSeparator/>
      </w:r>
    </w:p>
  </w:endnote>
  <w:endnote w:type="continuationNotice" w:id="1">
    <w:p w14:paraId="0A01EAE8" w14:textId="77777777" w:rsidR="000F173E" w:rsidRDefault="000F173E">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2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EE"/>
    <w:family w:val="swiss"/>
    <w:pitch w:val="variable"/>
    <w:sig w:usb0="E4002EFF" w:usb1="C2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Lucida Grande">
    <w:altName w:val="Times New Roman"/>
    <w:charset w:val="00"/>
    <w:family w:val="auto"/>
    <w:pitch w:val="variable"/>
    <w:sig w:usb0="E1000AEF" w:usb1="5000A1FF" w:usb2="00000000" w:usb3="00000000" w:csb0="000001BF" w:csb1="00000000"/>
  </w:font>
  <w:font w:name="ヒラギノ角ゴ Pro W3">
    <w:altName w:val="MS Gothic"/>
    <w:charset w:val="80"/>
    <w:family w:val="auto"/>
    <w:pitch w:val="variable"/>
    <w:sig w:usb0="E00002FF" w:usb1="7AC7FFFF" w:usb2="00000012" w:usb3="00000000" w:csb0="0002000D" w:csb1="00000000"/>
  </w:font>
  <w:font w:name="Trade Gothic LT Com">
    <w:altName w:val="Arial"/>
    <w:panose1 w:val="00000000000000000000"/>
    <w:charset w:val="00"/>
    <w:family w:val="swiss"/>
    <w:notTrueType/>
    <w:pitch w:val="default"/>
    <w:sig w:usb0="00000001" w:usb1="00000000" w:usb2="00000000" w:usb3="00000000" w:csb0="00000003" w:csb1="00000000"/>
  </w:font>
  <w:font w:name="Calibri-Italic">
    <w:altName w:val="Calibri"/>
    <w:panose1 w:val="00000000000000000000"/>
    <w:charset w:val="00"/>
    <w:family w:val="roman"/>
    <w:notTrueType/>
    <w:pitch w:val="default"/>
  </w:font>
  <w:font w:name="Arial Nova Cond">
    <w:charset w:val="00"/>
    <w:family w:val="swiss"/>
    <w:pitch w:val="variable"/>
    <w:sig w:usb0="0000028F"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49B6A1" w14:textId="5E7969D6" w:rsidR="00F209D2" w:rsidRPr="00917386" w:rsidRDefault="00F209D2" w:rsidP="005D14BD">
    <w:pPr>
      <w:pStyle w:val="Stopka"/>
      <w:jc w:val="center"/>
      <w:rPr>
        <w:i/>
        <w:iCs/>
        <w:sz w:val="22"/>
        <w:szCs w:val="22"/>
      </w:rPr>
    </w:pPr>
    <w:r w:rsidRPr="00917386">
      <w:rPr>
        <w:i/>
        <w:iCs/>
        <w:sz w:val="22"/>
        <w:szCs w:val="22"/>
      </w:rPr>
      <w:t xml:space="preserve">- </w:t>
    </w:r>
    <w:sdt>
      <w:sdtPr>
        <w:rPr>
          <w:i/>
          <w:iCs/>
          <w:sz w:val="22"/>
          <w:szCs w:val="22"/>
        </w:rPr>
        <w:id w:val="1062216320"/>
        <w:docPartObj>
          <w:docPartGallery w:val="Page Numbers (Bottom of Page)"/>
          <w:docPartUnique/>
        </w:docPartObj>
      </w:sdtPr>
      <w:sdtEndPr/>
      <w:sdtContent>
        <w:r w:rsidRPr="00917386">
          <w:rPr>
            <w:i/>
            <w:iCs/>
            <w:sz w:val="22"/>
            <w:szCs w:val="22"/>
          </w:rPr>
          <w:fldChar w:fldCharType="begin"/>
        </w:r>
        <w:r w:rsidRPr="00917386">
          <w:rPr>
            <w:i/>
            <w:iCs/>
            <w:sz w:val="22"/>
            <w:szCs w:val="22"/>
          </w:rPr>
          <w:instrText>PAGE   \* MERGEFORMAT</w:instrText>
        </w:r>
        <w:r w:rsidRPr="00917386">
          <w:rPr>
            <w:i/>
            <w:iCs/>
            <w:sz w:val="22"/>
            <w:szCs w:val="22"/>
          </w:rPr>
          <w:fldChar w:fldCharType="separate"/>
        </w:r>
        <w:r w:rsidRPr="00917386">
          <w:rPr>
            <w:i/>
            <w:iCs/>
            <w:sz w:val="22"/>
            <w:szCs w:val="22"/>
          </w:rPr>
          <w:t>2</w:t>
        </w:r>
        <w:r w:rsidRPr="00917386">
          <w:rPr>
            <w:i/>
            <w:iCs/>
            <w:sz w:val="22"/>
            <w:szCs w:val="22"/>
          </w:rPr>
          <w:fldChar w:fldCharType="end"/>
        </w:r>
        <w:r w:rsidRPr="00917386">
          <w:rPr>
            <w:i/>
            <w:iCs/>
            <w:sz w:val="22"/>
            <w:szCs w:val="22"/>
          </w:rPr>
          <w:t xml:space="preserve"> -</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3F1A89" w14:textId="77777777" w:rsidR="000F173E" w:rsidRDefault="000F173E" w:rsidP="00BA4AFD">
      <w:pPr>
        <w:spacing w:after="0"/>
      </w:pPr>
      <w:r>
        <w:separator/>
      </w:r>
    </w:p>
  </w:footnote>
  <w:footnote w:type="continuationSeparator" w:id="0">
    <w:p w14:paraId="1F64A275" w14:textId="77777777" w:rsidR="000F173E" w:rsidRDefault="000F173E" w:rsidP="00BA4AFD">
      <w:pPr>
        <w:spacing w:after="0"/>
      </w:pPr>
      <w:r>
        <w:continuationSeparator/>
      </w:r>
    </w:p>
  </w:footnote>
  <w:footnote w:type="continuationNotice" w:id="1">
    <w:p w14:paraId="4167B189" w14:textId="77777777" w:rsidR="000F173E" w:rsidRDefault="000F173E">
      <w:pPr>
        <w:spacing w:after="0"/>
      </w:pPr>
    </w:p>
  </w:footnote>
  <w:footnote w:id="2">
    <w:p w14:paraId="3D47C84A" w14:textId="77777777" w:rsidR="007933AF" w:rsidRPr="00917386" w:rsidRDefault="007933AF" w:rsidP="00C70777">
      <w:pPr>
        <w:pStyle w:val="Tekstprzypisudolnego"/>
        <w:jc w:val="left"/>
        <w:rPr>
          <w:rFonts w:ascii="Arial" w:eastAsiaTheme="minorHAnsi" w:hAnsi="Arial" w:cs="Arial"/>
          <w:i/>
          <w:iCs/>
          <w:sz w:val="18"/>
          <w:szCs w:val="18"/>
          <w:lang w:val="en-US"/>
        </w:rPr>
      </w:pPr>
      <w:r w:rsidRPr="00917386">
        <w:rPr>
          <w:rStyle w:val="Odwoanieprzypisudolnego"/>
          <w:rFonts w:ascii="Arial" w:hAnsi="Arial" w:cs="Arial"/>
          <w:i/>
          <w:iCs/>
          <w:sz w:val="18"/>
          <w:szCs w:val="18"/>
        </w:rPr>
        <w:footnoteRef/>
      </w:r>
      <w:r w:rsidRPr="00917386">
        <w:rPr>
          <w:rFonts w:ascii="Arial" w:hAnsi="Arial" w:cs="Arial"/>
          <w:i/>
          <w:iCs/>
          <w:sz w:val="18"/>
          <w:szCs w:val="18"/>
          <w:lang w:val="en-US"/>
        </w:rPr>
        <w:t xml:space="preserve"> </w:t>
      </w:r>
      <w:r w:rsidRPr="00917386">
        <w:rPr>
          <w:rFonts w:ascii="Arial" w:eastAsiaTheme="minorHAnsi" w:hAnsi="Arial" w:cs="Arial"/>
          <w:i/>
          <w:iCs/>
          <w:sz w:val="18"/>
          <w:szCs w:val="18"/>
          <w:lang w:val="en-US"/>
        </w:rPr>
        <w:t>OECD, GREEN – Reference and User Manual, Paris 1994.</w:t>
      </w:r>
    </w:p>
  </w:footnote>
  <w:footnote w:id="3">
    <w:p w14:paraId="05DB97FA" w14:textId="7CDE13F1" w:rsidR="007933AF" w:rsidRPr="00917386" w:rsidRDefault="007933AF" w:rsidP="00C70777">
      <w:pPr>
        <w:pStyle w:val="Tekstprzypisudolnego"/>
        <w:jc w:val="left"/>
        <w:rPr>
          <w:rFonts w:ascii="Arial" w:eastAsiaTheme="minorHAnsi" w:hAnsi="Arial" w:cs="Arial"/>
          <w:i/>
          <w:iCs/>
          <w:sz w:val="18"/>
          <w:szCs w:val="18"/>
          <w:lang w:val="en-US"/>
        </w:rPr>
      </w:pPr>
      <w:r w:rsidRPr="00917386">
        <w:rPr>
          <w:rStyle w:val="Odwoanieprzypisudolnego"/>
          <w:rFonts w:ascii="Arial" w:hAnsi="Arial" w:cs="Arial"/>
          <w:i/>
          <w:iCs/>
          <w:sz w:val="18"/>
          <w:szCs w:val="18"/>
        </w:rPr>
        <w:footnoteRef/>
      </w:r>
      <w:r w:rsidRPr="00917386">
        <w:rPr>
          <w:rStyle w:val="Odwoanieprzypisudolnego"/>
          <w:rFonts w:ascii="Arial" w:hAnsi="Arial" w:cs="Arial"/>
          <w:i/>
          <w:iCs/>
          <w:sz w:val="18"/>
          <w:szCs w:val="18"/>
          <w:lang w:val="en-US"/>
        </w:rPr>
        <w:t xml:space="preserve"> </w:t>
      </w:r>
      <w:r w:rsidRPr="00917386">
        <w:rPr>
          <w:rFonts w:ascii="Arial" w:eastAsiaTheme="minorHAnsi" w:hAnsi="Arial" w:cs="Arial"/>
          <w:i/>
          <w:iCs/>
          <w:sz w:val="18"/>
          <w:szCs w:val="18"/>
          <w:lang w:val="en-US"/>
        </w:rPr>
        <w:t>Z. Yang i in., The MIT Emissions Prediction and Policy Analysis (EPPA) Model, MIT Joint Program on the</w:t>
      </w:r>
      <w:r w:rsidRPr="00917386">
        <w:rPr>
          <w:rFonts w:ascii="Arial" w:eastAsiaTheme="minorHAnsi" w:hAnsi="Arial" w:cs="Arial"/>
          <w:i/>
          <w:iCs/>
          <w:sz w:val="18"/>
          <w:szCs w:val="18"/>
          <w:lang w:val="en-US"/>
        </w:rPr>
        <w:br/>
        <w:t>Science and Policy of Global Change Report 6, 1998</w:t>
      </w:r>
      <w:r w:rsidR="00242E14" w:rsidRPr="00917386">
        <w:rPr>
          <w:rFonts w:ascii="Arial" w:eastAsiaTheme="minorHAnsi" w:hAnsi="Arial" w:cs="Arial"/>
          <w:i/>
          <w:iCs/>
          <w:sz w:val="18"/>
          <w:szCs w:val="18"/>
          <w:lang w:val="en-US"/>
        </w:rPr>
        <w:t>.</w:t>
      </w:r>
    </w:p>
  </w:footnote>
  <w:footnote w:id="4">
    <w:p w14:paraId="5462042C" w14:textId="77777777" w:rsidR="007933AF" w:rsidRPr="00917386" w:rsidRDefault="007933AF" w:rsidP="00C70777">
      <w:pPr>
        <w:pStyle w:val="Tekstprzypisudolnego"/>
        <w:jc w:val="left"/>
        <w:rPr>
          <w:rFonts w:ascii="Arial" w:eastAsiaTheme="minorHAnsi" w:hAnsi="Arial" w:cs="Arial"/>
          <w:i/>
          <w:iCs/>
          <w:sz w:val="18"/>
          <w:szCs w:val="18"/>
          <w:lang w:val="en-US"/>
        </w:rPr>
      </w:pPr>
      <w:r w:rsidRPr="00917386">
        <w:rPr>
          <w:rStyle w:val="Odwoanieprzypisudolnego"/>
          <w:rFonts w:ascii="Arial" w:hAnsi="Arial" w:cs="Arial"/>
          <w:i/>
          <w:iCs/>
          <w:sz w:val="18"/>
          <w:szCs w:val="18"/>
        </w:rPr>
        <w:footnoteRef/>
      </w:r>
      <w:r w:rsidRPr="00917386">
        <w:rPr>
          <w:rFonts w:ascii="Arial" w:eastAsiaTheme="minorHAnsi" w:hAnsi="Arial" w:cs="Arial"/>
          <w:i/>
          <w:iCs/>
          <w:sz w:val="18"/>
          <w:szCs w:val="18"/>
          <w:lang w:val="en-US"/>
        </w:rPr>
        <w:t xml:space="preserve"> J. Jensen, M.H. Thelle, „What are the Gains from a Multi-Gas Strategy?” FEEM Working Paper 2001, no. 84.</w:t>
      </w:r>
      <w:r w:rsidRPr="00917386">
        <w:rPr>
          <w:rFonts w:ascii="Arial" w:eastAsiaTheme="minorHAnsi" w:hAnsi="Arial" w:cs="Arial"/>
          <w:i/>
          <w:iCs/>
          <w:sz w:val="18"/>
          <w:szCs w:val="18"/>
          <w:lang w:val="en-US"/>
        </w:rPr>
        <w:br/>
        <w:t>Available at SSRN: https://ssrn.com/abstract=291942 or http://dx.doi.org/10.2139/ssrn.291942).</w:t>
      </w:r>
    </w:p>
  </w:footnote>
  <w:footnote w:id="5">
    <w:p w14:paraId="4F46E838" w14:textId="671327D1" w:rsidR="007933AF" w:rsidRPr="00917386" w:rsidRDefault="007933AF" w:rsidP="00C70777">
      <w:pPr>
        <w:pStyle w:val="Tekstprzypisudolnego"/>
        <w:jc w:val="left"/>
        <w:rPr>
          <w:rFonts w:ascii="Arial" w:eastAsiaTheme="minorHAnsi" w:hAnsi="Arial" w:cs="Arial"/>
          <w:i/>
          <w:iCs/>
          <w:sz w:val="18"/>
          <w:szCs w:val="18"/>
          <w:lang w:val="en-US"/>
        </w:rPr>
      </w:pPr>
      <w:r w:rsidRPr="00917386">
        <w:rPr>
          <w:rStyle w:val="Odwoanieprzypisudolnego"/>
          <w:rFonts w:ascii="Arial" w:hAnsi="Arial" w:cs="Arial"/>
          <w:i/>
          <w:iCs/>
          <w:sz w:val="18"/>
          <w:szCs w:val="18"/>
        </w:rPr>
        <w:footnoteRef/>
      </w:r>
      <w:r w:rsidRPr="00917386">
        <w:rPr>
          <w:rStyle w:val="Odwoanieprzypisudolnego"/>
          <w:rFonts w:ascii="Arial" w:hAnsi="Arial" w:cs="Arial"/>
          <w:i/>
          <w:iCs/>
          <w:sz w:val="18"/>
          <w:szCs w:val="18"/>
          <w:lang w:val="en-US"/>
        </w:rPr>
        <w:t xml:space="preserve"> </w:t>
      </w:r>
      <w:r w:rsidRPr="00917386">
        <w:rPr>
          <w:rFonts w:ascii="Arial" w:eastAsiaTheme="minorHAnsi" w:hAnsi="Arial" w:cs="Arial"/>
          <w:i/>
          <w:iCs/>
          <w:sz w:val="18"/>
          <w:szCs w:val="18"/>
          <w:lang w:val="en-US"/>
        </w:rPr>
        <w:t>C. Kemfert, „Economy-Energy-Climate Interaction – The model WIAGEM”, Discussion paper 2001, University</w:t>
      </w:r>
      <w:r w:rsidRPr="00917386">
        <w:rPr>
          <w:rFonts w:ascii="Arial" w:eastAsiaTheme="minorHAnsi" w:hAnsi="Arial" w:cs="Arial"/>
          <w:i/>
          <w:iCs/>
          <w:sz w:val="18"/>
          <w:szCs w:val="18"/>
          <w:lang w:val="en-US"/>
        </w:rPr>
        <w:br/>
        <w:t>of Oldenburg</w:t>
      </w:r>
      <w:r w:rsidR="00242E14" w:rsidRPr="00917386">
        <w:rPr>
          <w:rFonts w:ascii="Arial" w:eastAsiaTheme="minorHAnsi" w:hAnsi="Arial" w:cs="Arial"/>
          <w:i/>
          <w:iCs/>
          <w:sz w:val="18"/>
          <w:szCs w:val="18"/>
          <w:lang w:val="en-US"/>
        </w:rPr>
        <w:t>.</w:t>
      </w:r>
    </w:p>
  </w:footnote>
  <w:footnote w:id="6">
    <w:p w14:paraId="6E479D2F" w14:textId="77777777" w:rsidR="007933AF" w:rsidRPr="00917386" w:rsidRDefault="007933AF" w:rsidP="00C70777">
      <w:pPr>
        <w:pStyle w:val="Tekstprzypisudolnego"/>
        <w:jc w:val="left"/>
        <w:rPr>
          <w:rFonts w:ascii="Arial" w:eastAsiaTheme="minorHAnsi" w:hAnsi="Arial" w:cs="Arial"/>
          <w:i/>
          <w:iCs/>
          <w:sz w:val="18"/>
          <w:szCs w:val="18"/>
          <w:lang w:val="en-US"/>
        </w:rPr>
      </w:pPr>
      <w:r w:rsidRPr="00917386">
        <w:rPr>
          <w:rStyle w:val="Odwoanieprzypisudolnego"/>
          <w:rFonts w:ascii="Arial" w:hAnsi="Arial" w:cs="Arial"/>
          <w:i/>
          <w:iCs/>
          <w:sz w:val="18"/>
          <w:szCs w:val="18"/>
        </w:rPr>
        <w:footnoteRef/>
      </w:r>
      <w:r w:rsidRPr="00917386">
        <w:rPr>
          <w:rStyle w:val="Odwoanieprzypisudolnego"/>
          <w:rFonts w:ascii="Arial" w:hAnsi="Arial" w:cs="Arial"/>
          <w:i/>
          <w:iCs/>
          <w:sz w:val="18"/>
          <w:szCs w:val="18"/>
          <w:lang w:val="en-US"/>
        </w:rPr>
        <w:t xml:space="preserve"> </w:t>
      </w:r>
      <w:r w:rsidRPr="00917386">
        <w:rPr>
          <w:rFonts w:ascii="Arial" w:eastAsiaTheme="minorHAnsi" w:hAnsi="Arial" w:cs="Arial"/>
          <w:i/>
          <w:iCs/>
          <w:sz w:val="18"/>
          <w:szCs w:val="18"/>
          <w:lang w:val="en-US"/>
        </w:rPr>
        <w:t>C. Böhringer, A. Löschel, „Assessing the costs of compliance: the Kyoto Protocol”, European Environment</w:t>
      </w:r>
      <w:r w:rsidRPr="00917386">
        <w:rPr>
          <w:rFonts w:ascii="Arial" w:eastAsiaTheme="minorHAnsi" w:hAnsi="Arial" w:cs="Arial"/>
          <w:i/>
          <w:iCs/>
          <w:sz w:val="18"/>
          <w:szCs w:val="18"/>
          <w:lang w:val="en-US"/>
        </w:rPr>
        <w:br/>
        <w:t>2002, vol. 12, no. 1, s. 1–16.</w:t>
      </w:r>
    </w:p>
  </w:footnote>
  <w:footnote w:id="7">
    <w:p w14:paraId="4C66030B" w14:textId="4474762B" w:rsidR="007933AF" w:rsidRPr="00917386" w:rsidRDefault="007933AF" w:rsidP="00C70777">
      <w:pPr>
        <w:pStyle w:val="Tekstprzypisudolnego"/>
        <w:jc w:val="left"/>
        <w:rPr>
          <w:rFonts w:ascii="Arial" w:eastAsiaTheme="minorHAnsi" w:hAnsi="Arial" w:cs="Arial"/>
          <w:i/>
          <w:iCs/>
          <w:sz w:val="18"/>
          <w:szCs w:val="18"/>
          <w:lang w:val="en-US"/>
        </w:rPr>
      </w:pPr>
      <w:r w:rsidRPr="00917386">
        <w:rPr>
          <w:rStyle w:val="Odwoanieprzypisudolnego"/>
          <w:rFonts w:ascii="Arial" w:hAnsi="Arial" w:cs="Arial"/>
          <w:i/>
          <w:iCs/>
          <w:sz w:val="18"/>
          <w:szCs w:val="18"/>
        </w:rPr>
        <w:footnoteRef/>
      </w:r>
      <w:r w:rsidR="00DB2468" w:rsidRPr="00917386">
        <w:rPr>
          <w:rFonts w:ascii="Arial" w:eastAsiaTheme="minorHAnsi" w:hAnsi="Arial" w:cs="Arial"/>
          <w:i/>
          <w:iCs/>
          <w:sz w:val="18"/>
          <w:szCs w:val="18"/>
          <w:lang w:val="en-US"/>
        </w:rPr>
        <w:t xml:space="preserve"> </w:t>
      </w:r>
      <w:r w:rsidRPr="00917386">
        <w:rPr>
          <w:rFonts w:ascii="Arial" w:eastAsiaTheme="minorHAnsi" w:hAnsi="Arial" w:cs="Arial"/>
          <w:i/>
          <w:iCs/>
          <w:sz w:val="18"/>
          <w:szCs w:val="18"/>
          <w:lang w:val="en-US"/>
        </w:rPr>
        <w:t>G. Klepper i in., „DART97: A Description of the Multi-regional, Multi-sectoral</w:t>
      </w:r>
      <w:r w:rsidRPr="00917386">
        <w:rPr>
          <w:rFonts w:ascii="Arial" w:eastAsiaTheme="minorHAnsi" w:hAnsi="Arial" w:cs="Arial"/>
          <w:i/>
          <w:iCs/>
          <w:sz w:val="18"/>
          <w:szCs w:val="18"/>
          <w:lang w:val="en-US"/>
        </w:rPr>
        <w:br/>
        <w:t>Trade Model for the Analysis of Climate Policies”, Working Paper, no. 1149, Kiel Institute for the World Economy</w:t>
      </w:r>
      <w:r w:rsidRPr="00917386">
        <w:rPr>
          <w:rFonts w:ascii="Arial" w:eastAsiaTheme="minorHAnsi" w:hAnsi="Arial" w:cs="Arial"/>
          <w:i/>
          <w:iCs/>
          <w:sz w:val="18"/>
          <w:szCs w:val="18"/>
          <w:lang w:val="en-US"/>
        </w:rPr>
        <w:br/>
        <w:t>2003)</w:t>
      </w:r>
      <w:r w:rsidR="00242E14" w:rsidRPr="00917386">
        <w:rPr>
          <w:rFonts w:ascii="Arial" w:eastAsiaTheme="minorHAnsi" w:hAnsi="Arial" w:cs="Arial"/>
          <w:i/>
          <w:iCs/>
          <w:sz w:val="18"/>
          <w:szCs w:val="18"/>
          <w:lang w:val="en-US"/>
        </w:rPr>
        <w:t>.</w:t>
      </w:r>
    </w:p>
  </w:footnote>
  <w:footnote w:id="8">
    <w:p w14:paraId="008F974A" w14:textId="37A48FD9" w:rsidR="007933AF" w:rsidRPr="00917386" w:rsidRDefault="007933AF" w:rsidP="00C70777">
      <w:pPr>
        <w:pStyle w:val="Tekstprzypisudolnego"/>
        <w:jc w:val="left"/>
        <w:rPr>
          <w:rFonts w:ascii="Arial" w:eastAsiaTheme="minorHAnsi" w:hAnsi="Arial" w:cs="Arial"/>
          <w:i/>
          <w:iCs/>
          <w:sz w:val="18"/>
          <w:szCs w:val="18"/>
          <w:lang w:val="en-US"/>
        </w:rPr>
      </w:pPr>
      <w:r w:rsidRPr="00917386">
        <w:rPr>
          <w:rStyle w:val="Odwoanieprzypisudolnego"/>
          <w:rFonts w:ascii="Arial" w:hAnsi="Arial" w:cs="Arial"/>
          <w:i/>
          <w:iCs/>
          <w:sz w:val="18"/>
          <w:szCs w:val="18"/>
        </w:rPr>
        <w:footnoteRef/>
      </w:r>
      <w:r w:rsidRPr="00917386">
        <w:rPr>
          <w:rStyle w:val="Odwoanieprzypisudolnego"/>
          <w:rFonts w:ascii="Arial" w:hAnsi="Arial" w:cs="Arial"/>
          <w:i/>
          <w:iCs/>
          <w:sz w:val="18"/>
          <w:szCs w:val="18"/>
          <w:lang w:val="en-US"/>
        </w:rPr>
        <w:t xml:space="preserve"> </w:t>
      </w:r>
      <w:r w:rsidRPr="00917386">
        <w:rPr>
          <w:rFonts w:ascii="Arial" w:eastAsiaTheme="minorHAnsi" w:hAnsi="Arial" w:cs="Arial"/>
          <w:i/>
          <w:iCs/>
          <w:sz w:val="18"/>
          <w:szCs w:val="18"/>
          <w:lang w:val="en-US"/>
        </w:rPr>
        <w:t>F. Smets, R. Wouters, „An Estimated Dynamic Stochastic General Equilibrium Model of the Euro Area”,</w:t>
      </w:r>
      <w:r w:rsidRPr="00917386">
        <w:rPr>
          <w:rFonts w:ascii="Arial" w:eastAsiaTheme="minorHAnsi" w:hAnsi="Arial" w:cs="Arial"/>
          <w:i/>
          <w:iCs/>
          <w:sz w:val="18"/>
          <w:szCs w:val="18"/>
          <w:lang w:val="en-US"/>
        </w:rPr>
        <w:br/>
        <w:t>Journal of the European Economic Association 2003, MIT Press, vol. 1, no. 5, s. 1123–1175</w:t>
      </w:r>
      <w:r w:rsidR="00242E14" w:rsidRPr="00917386">
        <w:rPr>
          <w:rFonts w:ascii="Arial" w:eastAsiaTheme="minorHAnsi" w:hAnsi="Arial" w:cs="Arial"/>
          <w:i/>
          <w:iCs/>
          <w:sz w:val="18"/>
          <w:szCs w:val="18"/>
          <w:lang w:val="en-US"/>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C5D342" w14:textId="77777777" w:rsidR="005D3293" w:rsidRPr="009C61F6" w:rsidRDefault="005D3293" w:rsidP="005D14BD">
    <w:pPr>
      <w:pStyle w:val="Nagwek"/>
      <w:spacing w:after="0"/>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2A5FDC"/>
    <w:multiLevelType w:val="hybridMultilevel"/>
    <w:tmpl w:val="AE0485DA"/>
    <w:lvl w:ilvl="0" w:tplc="ABC09A0E">
      <w:numFmt w:val="bullet"/>
      <w:lvlText w:val="•"/>
      <w:lvlJc w:val="left"/>
      <w:pPr>
        <w:ind w:left="720" w:hanging="360"/>
      </w:pPr>
      <w:rPr>
        <w:rFonts w:ascii="Calibri" w:eastAsia="Times New Roman" w:hAnsi="Calibri" w:cs="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22346EE6"/>
    <w:multiLevelType w:val="hybridMultilevel"/>
    <w:tmpl w:val="4ADA1EF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2386725B"/>
    <w:multiLevelType w:val="hybridMultilevel"/>
    <w:tmpl w:val="DC4CDDE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259509D2"/>
    <w:multiLevelType w:val="multilevel"/>
    <w:tmpl w:val="40FEAA4A"/>
    <w:lvl w:ilvl="0">
      <w:start w:val="1"/>
      <w:numFmt w:val="decimal"/>
      <w:pStyle w:val="Nagwek1"/>
      <w:lvlText w:val="%1."/>
      <w:lvlJc w:val="left"/>
      <w:pPr>
        <w:ind w:left="360" w:hanging="360"/>
      </w:pPr>
      <w:rPr>
        <w:rFonts w:hint="default"/>
      </w:rPr>
    </w:lvl>
    <w:lvl w:ilvl="1">
      <w:start w:val="1"/>
      <w:numFmt w:val="decimal"/>
      <w:pStyle w:val="Nagwek2"/>
      <w:isLgl/>
      <w:lvlText w:val="%1.%2"/>
      <w:lvlJc w:val="left"/>
      <w:pPr>
        <w:ind w:left="3981" w:hanging="720"/>
      </w:pPr>
      <w:rPr>
        <w:rFonts w:hint="default"/>
        <w:b/>
        <w:i w:val="0"/>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4" w15:restartNumberingAfterBreak="0">
    <w:nsid w:val="312D40A7"/>
    <w:multiLevelType w:val="hybridMultilevel"/>
    <w:tmpl w:val="20A6C7C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35872A2F"/>
    <w:multiLevelType w:val="hybridMultilevel"/>
    <w:tmpl w:val="9654C0E4"/>
    <w:lvl w:ilvl="0" w:tplc="ABC09A0E">
      <w:numFmt w:val="bullet"/>
      <w:lvlText w:val="•"/>
      <w:lvlJc w:val="left"/>
      <w:pPr>
        <w:ind w:left="1065" w:hanging="705"/>
      </w:pPr>
      <w:rPr>
        <w:rFonts w:ascii="Calibri" w:eastAsia="Times New Roman" w:hAnsi="Calibri" w:cs="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3BD77137"/>
    <w:multiLevelType w:val="hybridMultilevel"/>
    <w:tmpl w:val="4ADA1EF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4CE94DCA"/>
    <w:multiLevelType w:val="hybridMultilevel"/>
    <w:tmpl w:val="E9840A7E"/>
    <w:lvl w:ilvl="0" w:tplc="ABC09A0E">
      <w:numFmt w:val="bullet"/>
      <w:lvlText w:val="•"/>
      <w:lvlJc w:val="left"/>
      <w:pPr>
        <w:ind w:left="1065" w:hanging="705"/>
      </w:pPr>
      <w:rPr>
        <w:rFonts w:ascii="Calibri" w:eastAsia="Times New Roman" w:hAnsi="Calibri" w:cs="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4D5901EF"/>
    <w:multiLevelType w:val="hybridMultilevel"/>
    <w:tmpl w:val="DF9AB384"/>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77E55ADA"/>
    <w:multiLevelType w:val="hybridMultilevel"/>
    <w:tmpl w:val="54D275F4"/>
    <w:lvl w:ilvl="0" w:tplc="ABC09A0E">
      <w:numFmt w:val="bullet"/>
      <w:lvlText w:val="•"/>
      <w:lvlJc w:val="left"/>
      <w:pPr>
        <w:ind w:left="705" w:hanging="705"/>
      </w:pPr>
      <w:rPr>
        <w:rFonts w:ascii="Calibri" w:eastAsia="Times New Roman" w:hAnsi="Calibri" w:cs="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0" w15:restartNumberingAfterBreak="0">
    <w:nsid w:val="7D5A4B80"/>
    <w:multiLevelType w:val="hybridMultilevel"/>
    <w:tmpl w:val="6D5E21E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7D9F7F8D"/>
    <w:multiLevelType w:val="multilevel"/>
    <w:tmpl w:val="6EB6C706"/>
    <w:lvl w:ilvl="0">
      <w:start w:val="1"/>
      <w:numFmt w:val="decimal"/>
      <w:lvlText w:val="%1."/>
      <w:lvlJc w:val="left"/>
      <w:pPr>
        <w:ind w:left="360" w:hanging="360"/>
      </w:pPr>
      <w:rPr>
        <w:rFonts w:hint="default"/>
      </w:rPr>
    </w:lvl>
    <w:lvl w:ilvl="1">
      <w:start w:val="1"/>
      <w:numFmt w:val="decimal"/>
      <w:isLgl/>
      <w:lvlText w:val="%1.%2"/>
      <w:lvlJc w:val="left"/>
      <w:pPr>
        <w:ind w:left="862" w:hanging="720"/>
      </w:pPr>
      <w:rPr>
        <w:rFonts w:hint="default"/>
      </w:rPr>
    </w:lvl>
    <w:lvl w:ilvl="2">
      <w:start w:val="1"/>
      <w:numFmt w:val="decimal"/>
      <w:pStyle w:val="Nagwek3"/>
      <w:isLgl/>
      <w:lvlText w:val="%1.%2.%3"/>
      <w:lvlJc w:val="left"/>
      <w:pPr>
        <w:ind w:left="4263" w:hanging="720"/>
      </w:pPr>
      <w:rPr>
        <w:rFonts w:hint="default"/>
      </w:rPr>
    </w:lvl>
    <w:lvl w:ilvl="3">
      <w:start w:val="1"/>
      <w:numFmt w:val="decimal"/>
      <w:pStyle w:val="Nagwek4"/>
      <w:isLgl/>
      <w:lvlText w:val="%1.%2.%3.%4"/>
      <w:lvlJc w:val="left"/>
      <w:pPr>
        <w:ind w:left="1931" w:hanging="1080"/>
      </w:pPr>
      <w:rPr>
        <w:rFonts w:hint="default"/>
        <w:color w:val="002457" w:themeColor="accent1"/>
      </w:rPr>
    </w:lvl>
    <w:lvl w:ilvl="4">
      <w:start w:val="1"/>
      <w:numFmt w:val="decimal"/>
      <w:isLgl/>
      <w:lvlText w:val="%1.%2.%3.%4.%5"/>
      <w:lvlJc w:val="left"/>
      <w:pPr>
        <w:ind w:left="1700" w:hanging="1440"/>
      </w:pPr>
      <w:rPr>
        <w:rFonts w:hint="default"/>
      </w:rPr>
    </w:lvl>
    <w:lvl w:ilvl="5">
      <w:start w:val="1"/>
      <w:numFmt w:val="decimal"/>
      <w:isLgl/>
      <w:lvlText w:val="%1.%2.%3.%4.%5.%6"/>
      <w:lvlJc w:val="left"/>
      <w:pPr>
        <w:ind w:left="1765" w:hanging="1440"/>
      </w:pPr>
      <w:rPr>
        <w:rFonts w:hint="default"/>
      </w:rPr>
    </w:lvl>
    <w:lvl w:ilvl="6">
      <w:start w:val="1"/>
      <w:numFmt w:val="decimal"/>
      <w:isLgl/>
      <w:lvlText w:val="%1.%2.%3.%4.%5.%6.%7"/>
      <w:lvlJc w:val="left"/>
      <w:pPr>
        <w:ind w:left="2190" w:hanging="1800"/>
      </w:pPr>
      <w:rPr>
        <w:rFonts w:hint="default"/>
      </w:rPr>
    </w:lvl>
    <w:lvl w:ilvl="7">
      <w:start w:val="1"/>
      <w:numFmt w:val="decimal"/>
      <w:isLgl/>
      <w:lvlText w:val="%1.%2.%3.%4.%5.%6.%7.%8"/>
      <w:lvlJc w:val="left"/>
      <w:pPr>
        <w:ind w:left="2615" w:hanging="2160"/>
      </w:pPr>
      <w:rPr>
        <w:rFonts w:hint="default"/>
      </w:rPr>
    </w:lvl>
    <w:lvl w:ilvl="8">
      <w:start w:val="1"/>
      <w:numFmt w:val="decimal"/>
      <w:isLgl/>
      <w:lvlText w:val="%1.%2.%3.%4.%5.%6.%7.%8.%9"/>
      <w:lvlJc w:val="left"/>
      <w:pPr>
        <w:ind w:left="2680" w:hanging="2160"/>
      </w:pPr>
      <w:rPr>
        <w:rFonts w:hint="default"/>
      </w:rPr>
    </w:lvl>
  </w:abstractNum>
  <w:num w:numId="1">
    <w:abstractNumId w:val="11"/>
  </w:num>
  <w:num w:numId="2">
    <w:abstractNumId w:val="3"/>
  </w:num>
  <w:num w:numId="3">
    <w:abstractNumId w:val="5"/>
  </w:num>
  <w:num w:numId="4">
    <w:abstractNumId w:val="9"/>
  </w:num>
  <w:num w:numId="5">
    <w:abstractNumId w:val="7"/>
  </w:num>
  <w:num w:numId="6">
    <w:abstractNumId w:val="0"/>
  </w:num>
  <w:num w:numId="7">
    <w:abstractNumId w:val="4"/>
  </w:num>
  <w:num w:numId="8">
    <w:abstractNumId w:val="10"/>
  </w:num>
  <w:num w:numId="9">
    <w:abstractNumId w:val="2"/>
  </w:num>
  <w:num w:numId="10">
    <w:abstractNumId w:val="8"/>
  </w:num>
  <w:num w:numId="11">
    <w:abstractNumId w:val="6"/>
  </w:num>
  <w:num w:numId="12">
    <w:abstractNumId w:val="1"/>
  </w:num>
  <w:num w:numId="13">
    <w:abstractNumId w:val="3"/>
  </w:num>
  <w:num w:numId="14">
    <w:abstractNumId w:val="3"/>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4AFD"/>
    <w:rsid w:val="00000C9F"/>
    <w:rsid w:val="00001004"/>
    <w:rsid w:val="00001666"/>
    <w:rsid w:val="00002648"/>
    <w:rsid w:val="000026BA"/>
    <w:rsid w:val="00002C08"/>
    <w:rsid w:val="00003642"/>
    <w:rsid w:val="00004FD5"/>
    <w:rsid w:val="000056ED"/>
    <w:rsid w:val="0000575C"/>
    <w:rsid w:val="00005955"/>
    <w:rsid w:val="00005CFE"/>
    <w:rsid w:val="00006558"/>
    <w:rsid w:val="00006619"/>
    <w:rsid w:val="0000668E"/>
    <w:rsid w:val="00006F92"/>
    <w:rsid w:val="00007951"/>
    <w:rsid w:val="00011309"/>
    <w:rsid w:val="00011F61"/>
    <w:rsid w:val="00013C02"/>
    <w:rsid w:val="00013C16"/>
    <w:rsid w:val="00016140"/>
    <w:rsid w:val="000163F3"/>
    <w:rsid w:val="000177EB"/>
    <w:rsid w:val="00017DBC"/>
    <w:rsid w:val="0002203B"/>
    <w:rsid w:val="00022CEF"/>
    <w:rsid w:val="00023657"/>
    <w:rsid w:val="00023F03"/>
    <w:rsid w:val="0002466D"/>
    <w:rsid w:val="00024B00"/>
    <w:rsid w:val="00024FF1"/>
    <w:rsid w:val="000252F4"/>
    <w:rsid w:val="000253CF"/>
    <w:rsid w:val="00025D6E"/>
    <w:rsid w:val="000272CC"/>
    <w:rsid w:val="00027B2E"/>
    <w:rsid w:val="000301E8"/>
    <w:rsid w:val="000304E0"/>
    <w:rsid w:val="00030787"/>
    <w:rsid w:val="00030FD3"/>
    <w:rsid w:val="00031510"/>
    <w:rsid w:val="0003161B"/>
    <w:rsid w:val="00031CB5"/>
    <w:rsid w:val="00031F71"/>
    <w:rsid w:val="00032AB7"/>
    <w:rsid w:val="00033547"/>
    <w:rsid w:val="00033654"/>
    <w:rsid w:val="000336BE"/>
    <w:rsid w:val="00033AAD"/>
    <w:rsid w:val="00033BD7"/>
    <w:rsid w:val="00033C75"/>
    <w:rsid w:val="00033EF0"/>
    <w:rsid w:val="00034F88"/>
    <w:rsid w:val="00035CBA"/>
    <w:rsid w:val="00035F20"/>
    <w:rsid w:val="00036229"/>
    <w:rsid w:val="000362C7"/>
    <w:rsid w:val="0003650C"/>
    <w:rsid w:val="00036BCF"/>
    <w:rsid w:val="000375F3"/>
    <w:rsid w:val="00037FDB"/>
    <w:rsid w:val="000402F0"/>
    <w:rsid w:val="000403DD"/>
    <w:rsid w:val="00040C5E"/>
    <w:rsid w:val="00040CDD"/>
    <w:rsid w:val="00042795"/>
    <w:rsid w:val="00043CE8"/>
    <w:rsid w:val="00044284"/>
    <w:rsid w:val="000446AB"/>
    <w:rsid w:val="00045269"/>
    <w:rsid w:val="00045AA9"/>
    <w:rsid w:val="00045B82"/>
    <w:rsid w:val="00045DBC"/>
    <w:rsid w:val="00046E1E"/>
    <w:rsid w:val="00050736"/>
    <w:rsid w:val="00050AA1"/>
    <w:rsid w:val="00053427"/>
    <w:rsid w:val="00053F29"/>
    <w:rsid w:val="00053FF4"/>
    <w:rsid w:val="00054318"/>
    <w:rsid w:val="0005440A"/>
    <w:rsid w:val="000544B9"/>
    <w:rsid w:val="000544EC"/>
    <w:rsid w:val="0005453E"/>
    <w:rsid w:val="00054B1F"/>
    <w:rsid w:val="00055C67"/>
    <w:rsid w:val="000563EA"/>
    <w:rsid w:val="000564E0"/>
    <w:rsid w:val="00056C6C"/>
    <w:rsid w:val="0005735B"/>
    <w:rsid w:val="000577C7"/>
    <w:rsid w:val="00057A5D"/>
    <w:rsid w:val="0006075E"/>
    <w:rsid w:val="00061B4D"/>
    <w:rsid w:val="000627E5"/>
    <w:rsid w:val="00064596"/>
    <w:rsid w:val="00065DC2"/>
    <w:rsid w:val="00065F32"/>
    <w:rsid w:val="00065F89"/>
    <w:rsid w:val="00066032"/>
    <w:rsid w:val="000671F0"/>
    <w:rsid w:val="000676BD"/>
    <w:rsid w:val="00070530"/>
    <w:rsid w:val="0007125C"/>
    <w:rsid w:val="000719F7"/>
    <w:rsid w:val="0007580F"/>
    <w:rsid w:val="00076174"/>
    <w:rsid w:val="000775F2"/>
    <w:rsid w:val="00080BE4"/>
    <w:rsid w:val="0008274C"/>
    <w:rsid w:val="0008288D"/>
    <w:rsid w:val="00083312"/>
    <w:rsid w:val="00083FBF"/>
    <w:rsid w:val="00084205"/>
    <w:rsid w:val="0008441D"/>
    <w:rsid w:val="0008468C"/>
    <w:rsid w:val="000848A6"/>
    <w:rsid w:val="00085729"/>
    <w:rsid w:val="00085B1F"/>
    <w:rsid w:val="00085E66"/>
    <w:rsid w:val="00086191"/>
    <w:rsid w:val="0008640B"/>
    <w:rsid w:val="00086813"/>
    <w:rsid w:val="00086F24"/>
    <w:rsid w:val="00087040"/>
    <w:rsid w:val="0008758A"/>
    <w:rsid w:val="00090990"/>
    <w:rsid w:val="00091381"/>
    <w:rsid w:val="00092146"/>
    <w:rsid w:val="000925A6"/>
    <w:rsid w:val="0009288B"/>
    <w:rsid w:val="00092927"/>
    <w:rsid w:val="000929B3"/>
    <w:rsid w:val="00092FB8"/>
    <w:rsid w:val="00093D09"/>
    <w:rsid w:val="000951A4"/>
    <w:rsid w:val="000953BE"/>
    <w:rsid w:val="00095621"/>
    <w:rsid w:val="00095869"/>
    <w:rsid w:val="00096F3E"/>
    <w:rsid w:val="000A0537"/>
    <w:rsid w:val="000A1ADF"/>
    <w:rsid w:val="000A6B6F"/>
    <w:rsid w:val="000A6DCA"/>
    <w:rsid w:val="000A7059"/>
    <w:rsid w:val="000A7BFA"/>
    <w:rsid w:val="000A7E17"/>
    <w:rsid w:val="000B00B3"/>
    <w:rsid w:val="000B0325"/>
    <w:rsid w:val="000B07CD"/>
    <w:rsid w:val="000B085B"/>
    <w:rsid w:val="000B0D4E"/>
    <w:rsid w:val="000B1002"/>
    <w:rsid w:val="000B1C92"/>
    <w:rsid w:val="000B1EA8"/>
    <w:rsid w:val="000B2123"/>
    <w:rsid w:val="000B2FAF"/>
    <w:rsid w:val="000B2FB4"/>
    <w:rsid w:val="000B4409"/>
    <w:rsid w:val="000B4B93"/>
    <w:rsid w:val="000B52D0"/>
    <w:rsid w:val="000B5634"/>
    <w:rsid w:val="000B61A3"/>
    <w:rsid w:val="000B636F"/>
    <w:rsid w:val="000B7641"/>
    <w:rsid w:val="000B768E"/>
    <w:rsid w:val="000C00C9"/>
    <w:rsid w:val="000C0B2C"/>
    <w:rsid w:val="000C114E"/>
    <w:rsid w:val="000C14A0"/>
    <w:rsid w:val="000C1E4C"/>
    <w:rsid w:val="000C2146"/>
    <w:rsid w:val="000C2911"/>
    <w:rsid w:val="000C2E17"/>
    <w:rsid w:val="000C2F52"/>
    <w:rsid w:val="000C316A"/>
    <w:rsid w:val="000C33D3"/>
    <w:rsid w:val="000C3433"/>
    <w:rsid w:val="000C3FD0"/>
    <w:rsid w:val="000C442E"/>
    <w:rsid w:val="000C48ED"/>
    <w:rsid w:val="000C50E4"/>
    <w:rsid w:val="000C513D"/>
    <w:rsid w:val="000C5310"/>
    <w:rsid w:val="000C5D87"/>
    <w:rsid w:val="000C5FB5"/>
    <w:rsid w:val="000C5FC3"/>
    <w:rsid w:val="000C6B60"/>
    <w:rsid w:val="000C6B7D"/>
    <w:rsid w:val="000C7508"/>
    <w:rsid w:val="000D0435"/>
    <w:rsid w:val="000D1008"/>
    <w:rsid w:val="000D1604"/>
    <w:rsid w:val="000D17CC"/>
    <w:rsid w:val="000D1E8C"/>
    <w:rsid w:val="000D2377"/>
    <w:rsid w:val="000D4374"/>
    <w:rsid w:val="000D473A"/>
    <w:rsid w:val="000D49C2"/>
    <w:rsid w:val="000D4AE9"/>
    <w:rsid w:val="000D5D0D"/>
    <w:rsid w:val="000D6E34"/>
    <w:rsid w:val="000E01AD"/>
    <w:rsid w:val="000E0F1D"/>
    <w:rsid w:val="000E1639"/>
    <w:rsid w:val="000E1803"/>
    <w:rsid w:val="000E326E"/>
    <w:rsid w:val="000E3757"/>
    <w:rsid w:val="000E4135"/>
    <w:rsid w:val="000E41A1"/>
    <w:rsid w:val="000E43C8"/>
    <w:rsid w:val="000E47AF"/>
    <w:rsid w:val="000E4945"/>
    <w:rsid w:val="000E596F"/>
    <w:rsid w:val="000E5C93"/>
    <w:rsid w:val="000E6145"/>
    <w:rsid w:val="000E6635"/>
    <w:rsid w:val="000E6711"/>
    <w:rsid w:val="000E6AB2"/>
    <w:rsid w:val="000E7B2E"/>
    <w:rsid w:val="000E7CDE"/>
    <w:rsid w:val="000F0615"/>
    <w:rsid w:val="000F0CD3"/>
    <w:rsid w:val="000F1492"/>
    <w:rsid w:val="000F1494"/>
    <w:rsid w:val="000F173E"/>
    <w:rsid w:val="000F1A5F"/>
    <w:rsid w:val="000F22E1"/>
    <w:rsid w:val="000F29B7"/>
    <w:rsid w:val="000F29C8"/>
    <w:rsid w:val="000F3D34"/>
    <w:rsid w:val="000F3F4B"/>
    <w:rsid w:val="000F3F65"/>
    <w:rsid w:val="000F5C82"/>
    <w:rsid w:val="000F6F8A"/>
    <w:rsid w:val="000F714D"/>
    <w:rsid w:val="000F7197"/>
    <w:rsid w:val="000F72D8"/>
    <w:rsid w:val="000F7B5D"/>
    <w:rsid w:val="000F7DF9"/>
    <w:rsid w:val="000F7E54"/>
    <w:rsid w:val="0010032C"/>
    <w:rsid w:val="0010091F"/>
    <w:rsid w:val="001012FA"/>
    <w:rsid w:val="001012FF"/>
    <w:rsid w:val="00101382"/>
    <w:rsid w:val="00102FC2"/>
    <w:rsid w:val="001032A5"/>
    <w:rsid w:val="001035FE"/>
    <w:rsid w:val="0010376B"/>
    <w:rsid w:val="001048B5"/>
    <w:rsid w:val="00106A29"/>
    <w:rsid w:val="00106C96"/>
    <w:rsid w:val="0010714A"/>
    <w:rsid w:val="00107DFE"/>
    <w:rsid w:val="00110177"/>
    <w:rsid w:val="00110BCE"/>
    <w:rsid w:val="001117B4"/>
    <w:rsid w:val="00111B37"/>
    <w:rsid w:val="001125F5"/>
    <w:rsid w:val="00113430"/>
    <w:rsid w:val="00114380"/>
    <w:rsid w:val="001148B6"/>
    <w:rsid w:val="00114A1A"/>
    <w:rsid w:val="0011581B"/>
    <w:rsid w:val="00115923"/>
    <w:rsid w:val="001169B2"/>
    <w:rsid w:val="001171B7"/>
    <w:rsid w:val="00117D1F"/>
    <w:rsid w:val="00120276"/>
    <w:rsid w:val="00121554"/>
    <w:rsid w:val="00121B6F"/>
    <w:rsid w:val="001225E1"/>
    <w:rsid w:val="00122750"/>
    <w:rsid w:val="001238D2"/>
    <w:rsid w:val="00123B03"/>
    <w:rsid w:val="001248C9"/>
    <w:rsid w:val="00126A2A"/>
    <w:rsid w:val="001271A3"/>
    <w:rsid w:val="001274A6"/>
    <w:rsid w:val="00132AA4"/>
    <w:rsid w:val="00133CE5"/>
    <w:rsid w:val="00134EC2"/>
    <w:rsid w:val="001361CE"/>
    <w:rsid w:val="00136B49"/>
    <w:rsid w:val="00140451"/>
    <w:rsid w:val="00141247"/>
    <w:rsid w:val="0014140D"/>
    <w:rsid w:val="00141C4A"/>
    <w:rsid w:val="001420AF"/>
    <w:rsid w:val="001423A7"/>
    <w:rsid w:val="00143379"/>
    <w:rsid w:val="00143D95"/>
    <w:rsid w:val="001442E1"/>
    <w:rsid w:val="001442FB"/>
    <w:rsid w:val="00144957"/>
    <w:rsid w:val="00144A53"/>
    <w:rsid w:val="00144FD4"/>
    <w:rsid w:val="001451CA"/>
    <w:rsid w:val="00145BB0"/>
    <w:rsid w:val="00147061"/>
    <w:rsid w:val="00147B22"/>
    <w:rsid w:val="00147C44"/>
    <w:rsid w:val="001503C3"/>
    <w:rsid w:val="00150785"/>
    <w:rsid w:val="00150B16"/>
    <w:rsid w:val="00150E81"/>
    <w:rsid w:val="0015150D"/>
    <w:rsid w:val="00154163"/>
    <w:rsid w:val="001543DE"/>
    <w:rsid w:val="0015514F"/>
    <w:rsid w:val="00155354"/>
    <w:rsid w:val="0015658C"/>
    <w:rsid w:val="00157C4F"/>
    <w:rsid w:val="00157F9A"/>
    <w:rsid w:val="00160115"/>
    <w:rsid w:val="00160142"/>
    <w:rsid w:val="00160DAA"/>
    <w:rsid w:val="00161383"/>
    <w:rsid w:val="0016163F"/>
    <w:rsid w:val="001644D7"/>
    <w:rsid w:val="00164534"/>
    <w:rsid w:val="00164B4B"/>
    <w:rsid w:val="00165302"/>
    <w:rsid w:val="0016553B"/>
    <w:rsid w:val="001658E7"/>
    <w:rsid w:val="00167852"/>
    <w:rsid w:val="001702C6"/>
    <w:rsid w:val="001706AF"/>
    <w:rsid w:val="00171FFE"/>
    <w:rsid w:val="001722E1"/>
    <w:rsid w:val="00172763"/>
    <w:rsid w:val="001739CC"/>
    <w:rsid w:val="00174E3F"/>
    <w:rsid w:val="00175400"/>
    <w:rsid w:val="001754F8"/>
    <w:rsid w:val="00175587"/>
    <w:rsid w:val="00175FFC"/>
    <w:rsid w:val="0017647D"/>
    <w:rsid w:val="001768AC"/>
    <w:rsid w:val="00177E96"/>
    <w:rsid w:val="001803AF"/>
    <w:rsid w:val="0018056C"/>
    <w:rsid w:val="00180A1D"/>
    <w:rsid w:val="0018114B"/>
    <w:rsid w:val="001821AE"/>
    <w:rsid w:val="00182CD3"/>
    <w:rsid w:val="001842F6"/>
    <w:rsid w:val="00184A8D"/>
    <w:rsid w:val="00185842"/>
    <w:rsid w:val="001870A5"/>
    <w:rsid w:val="00190FE9"/>
    <w:rsid w:val="001919FA"/>
    <w:rsid w:val="00191D5E"/>
    <w:rsid w:val="00191EC0"/>
    <w:rsid w:val="001925B0"/>
    <w:rsid w:val="0019296A"/>
    <w:rsid w:val="00192AFF"/>
    <w:rsid w:val="001933E4"/>
    <w:rsid w:val="0019355E"/>
    <w:rsid w:val="00193974"/>
    <w:rsid w:val="0019415E"/>
    <w:rsid w:val="0019435E"/>
    <w:rsid w:val="001943DF"/>
    <w:rsid w:val="00194AEC"/>
    <w:rsid w:val="00195BC6"/>
    <w:rsid w:val="00196185"/>
    <w:rsid w:val="00196AEA"/>
    <w:rsid w:val="001A1710"/>
    <w:rsid w:val="001A22E8"/>
    <w:rsid w:val="001A3378"/>
    <w:rsid w:val="001A33BA"/>
    <w:rsid w:val="001A38C8"/>
    <w:rsid w:val="001A3F66"/>
    <w:rsid w:val="001A4471"/>
    <w:rsid w:val="001A477D"/>
    <w:rsid w:val="001A4A42"/>
    <w:rsid w:val="001A4C78"/>
    <w:rsid w:val="001A4FC3"/>
    <w:rsid w:val="001A5C82"/>
    <w:rsid w:val="001A5D52"/>
    <w:rsid w:val="001A7845"/>
    <w:rsid w:val="001A7A11"/>
    <w:rsid w:val="001B00FD"/>
    <w:rsid w:val="001B0475"/>
    <w:rsid w:val="001B0F65"/>
    <w:rsid w:val="001B117B"/>
    <w:rsid w:val="001B23D8"/>
    <w:rsid w:val="001B23F4"/>
    <w:rsid w:val="001B2963"/>
    <w:rsid w:val="001B2A4A"/>
    <w:rsid w:val="001B2CAD"/>
    <w:rsid w:val="001B2CBC"/>
    <w:rsid w:val="001B4D7D"/>
    <w:rsid w:val="001B4EAC"/>
    <w:rsid w:val="001B53F7"/>
    <w:rsid w:val="001B5407"/>
    <w:rsid w:val="001B54E5"/>
    <w:rsid w:val="001B64C8"/>
    <w:rsid w:val="001B719C"/>
    <w:rsid w:val="001B7A46"/>
    <w:rsid w:val="001B7B96"/>
    <w:rsid w:val="001C0060"/>
    <w:rsid w:val="001C05C2"/>
    <w:rsid w:val="001C1086"/>
    <w:rsid w:val="001C1508"/>
    <w:rsid w:val="001C174B"/>
    <w:rsid w:val="001C176E"/>
    <w:rsid w:val="001C1AF4"/>
    <w:rsid w:val="001C2235"/>
    <w:rsid w:val="001C250F"/>
    <w:rsid w:val="001C4414"/>
    <w:rsid w:val="001C4948"/>
    <w:rsid w:val="001C4A93"/>
    <w:rsid w:val="001C4D1D"/>
    <w:rsid w:val="001C59FC"/>
    <w:rsid w:val="001C5C5C"/>
    <w:rsid w:val="001C65A0"/>
    <w:rsid w:val="001C713C"/>
    <w:rsid w:val="001C791F"/>
    <w:rsid w:val="001C7C38"/>
    <w:rsid w:val="001D0337"/>
    <w:rsid w:val="001D05CF"/>
    <w:rsid w:val="001D092C"/>
    <w:rsid w:val="001D17CF"/>
    <w:rsid w:val="001D1DE1"/>
    <w:rsid w:val="001D2A0C"/>
    <w:rsid w:val="001D2F45"/>
    <w:rsid w:val="001D363D"/>
    <w:rsid w:val="001D526B"/>
    <w:rsid w:val="001D5AED"/>
    <w:rsid w:val="001D61C5"/>
    <w:rsid w:val="001D644D"/>
    <w:rsid w:val="001D6966"/>
    <w:rsid w:val="001E0065"/>
    <w:rsid w:val="001E00BC"/>
    <w:rsid w:val="001E02E2"/>
    <w:rsid w:val="001E066F"/>
    <w:rsid w:val="001E19E7"/>
    <w:rsid w:val="001E1B53"/>
    <w:rsid w:val="001E1BEB"/>
    <w:rsid w:val="001E1BF2"/>
    <w:rsid w:val="001E2008"/>
    <w:rsid w:val="001E29F7"/>
    <w:rsid w:val="001E30BF"/>
    <w:rsid w:val="001E36F5"/>
    <w:rsid w:val="001E3AF7"/>
    <w:rsid w:val="001E3B69"/>
    <w:rsid w:val="001E3EA5"/>
    <w:rsid w:val="001E3EBA"/>
    <w:rsid w:val="001F040F"/>
    <w:rsid w:val="001F073E"/>
    <w:rsid w:val="001F1CEB"/>
    <w:rsid w:val="001F37ED"/>
    <w:rsid w:val="001F3C59"/>
    <w:rsid w:val="001F6426"/>
    <w:rsid w:val="001F64E0"/>
    <w:rsid w:val="001F67A8"/>
    <w:rsid w:val="001F7F95"/>
    <w:rsid w:val="002005E5"/>
    <w:rsid w:val="00200DC8"/>
    <w:rsid w:val="00200FF2"/>
    <w:rsid w:val="00201793"/>
    <w:rsid w:val="00202109"/>
    <w:rsid w:val="00202366"/>
    <w:rsid w:val="00202790"/>
    <w:rsid w:val="0020283E"/>
    <w:rsid w:val="00203E8F"/>
    <w:rsid w:val="00205C77"/>
    <w:rsid w:val="002105E2"/>
    <w:rsid w:val="00210B3B"/>
    <w:rsid w:val="00211235"/>
    <w:rsid w:val="0021269F"/>
    <w:rsid w:val="0021288F"/>
    <w:rsid w:val="0021350E"/>
    <w:rsid w:val="00213A29"/>
    <w:rsid w:val="00214881"/>
    <w:rsid w:val="0021507A"/>
    <w:rsid w:val="002156A2"/>
    <w:rsid w:val="00215C7F"/>
    <w:rsid w:val="00216B03"/>
    <w:rsid w:val="00216B19"/>
    <w:rsid w:val="00217C57"/>
    <w:rsid w:val="002202BD"/>
    <w:rsid w:val="00221754"/>
    <w:rsid w:val="00222A24"/>
    <w:rsid w:val="002232F3"/>
    <w:rsid w:val="0022353A"/>
    <w:rsid w:val="00223EA1"/>
    <w:rsid w:val="0022480E"/>
    <w:rsid w:val="00224B4A"/>
    <w:rsid w:val="0022533D"/>
    <w:rsid w:val="002255B2"/>
    <w:rsid w:val="00225698"/>
    <w:rsid w:val="00225E65"/>
    <w:rsid w:val="00226831"/>
    <w:rsid w:val="00227D42"/>
    <w:rsid w:val="00231976"/>
    <w:rsid w:val="00232079"/>
    <w:rsid w:val="00232DFE"/>
    <w:rsid w:val="002330EB"/>
    <w:rsid w:val="002337D8"/>
    <w:rsid w:val="00233A6B"/>
    <w:rsid w:val="002342A8"/>
    <w:rsid w:val="002350FA"/>
    <w:rsid w:val="00235D9C"/>
    <w:rsid w:val="00236F00"/>
    <w:rsid w:val="00237360"/>
    <w:rsid w:val="00237BAC"/>
    <w:rsid w:val="00240D1C"/>
    <w:rsid w:val="002417AD"/>
    <w:rsid w:val="00241BF4"/>
    <w:rsid w:val="00241C0E"/>
    <w:rsid w:val="00242961"/>
    <w:rsid w:val="00242B35"/>
    <w:rsid w:val="00242E14"/>
    <w:rsid w:val="002432A7"/>
    <w:rsid w:val="0024383B"/>
    <w:rsid w:val="00243ED8"/>
    <w:rsid w:val="002450F0"/>
    <w:rsid w:val="00245511"/>
    <w:rsid w:val="002479EA"/>
    <w:rsid w:val="00247A8E"/>
    <w:rsid w:val="00247BFB"/>
    <w:rsid w:val="00250F54"/>
    <w:rsid w:val="0025106D"/>
    <w:rsid w:val="00251596"/>
    <w:rsid w:val="00251BF2"/>
    <w:rsid w:val="002531C4"/>
    <w:rsid w:val="0025689B"/>
    <w:rsid w:val="002578F4"/>
    <w:rsid w:val="00257E8E"/>
    <w:rsid w:val="00260F4D"/>
    <w:rsid w:val="002611BA"/>
    <w:rsid w:val="0026127B"/>
    <w:rsid w:val="00261596"/>
    <w:rsid w:val="00261A95"/>
    <w:rsid w:val="00261BEF"/>
    <w:rsid w:val="00261E7F"/>
    <w:rsid w:val="002643DE"/>
    <w:rsid w:val="00264781"/>
    <w:rsid w:val="0026661B"/>
    <w:rsid w:val="00266EE4"/>
    <w:rsid w:val="0027073F"/>
    <w:rsid w:val="0027222B"/>
    <w:rsid w:val="00272268"/>
    <w:rsid w:val="00275B84"/>
    <w:rsid w:val="00277DF8"/>
    <w:rsid w:val="002807E9"/>
    <w:rsid w:val="00280B88"/>
    <w:rsid w:val="00280DB0"/>
    <w:rsid w:val="002818D4"/>
    <w:rsid w:val="00282D42"/>
    <w:rsid w:val="0028315C"/>
    <w:rsid w:val="002836F4"/>
    <w:rsid w:val="00283850"/>
    <w:rsid w:val="00283B02"/>
    <w:rsid w:val="00285CF7"/>
    <w:rsid w:val="0028696F"/>
    <w:rsid w:val="002874A3"/>
    <w:rsid w:val="002875CE"/>
    <w:rsid w:val="00287767"/>
    <w:rsid w:val="00290647"/>
    <w:rsid w:val="002907E5"/>
    <w:rsid w:val="00290AB3"/>
    <w:rsid w:val="002913C4"/>
    <w:rsid w:val="00291EFF"/>
    <w:rsid w:val="0029205D"/>
    <w:rsid w:val="002921C8"/>
    <w:rsid w:val="00293D5A"/>
    <w:rsid w:val="002950DC"/>
    <w:rsid w:val="0029525A"/>
    <w:rsid w:val="002958FC"/>
    <w:rsid w:val="002972BB"/>
    <w:rsid w:val="002978CA"/>
    <w:rsid w:val="002A09E5"/>
    <w:rsid w:val="002A15E1"/>
    <w:rsid w:val="002A295C"/>
    <w:rsid w:val="002A32BB"/>
    <w:rsid w:val="002A346B"/>
    <w:rsid w:val="002A3976"/>
    <w:rsid w:val="002A4051"/>
    <w:rsid w:val="002A4F5A"/>
    <w:rsid w:val="002A5305"/>
    <w:rsid w:val="002A5F66"/>
    <w:rsid w:val="002A7CD4"/>
    <w:rsid w:val="002B0420"/>
    <w:rsid w:val="002B0580"/>
    <w:rsid w:val="002B07D4"/>
    <w:rsid w:val="002B08DA"/>
    <w:rsid w:val="002B0AB7"/>
    <w:rsid w:val="002B1E5A"/>
    <w:rsid w:val="002B2A2A"/>
    <w:rsid w:val="002B36DC"/>
    <w:rsid w:val="002B3A1C"/>
    <w:rsid w:val="002B3E90"/>
    <w:rsid w:val="002B40E0"/>
    <w:rsid w:val="002B41CC"/>
    <w:rsid w:val="002B4476"/>
    <w:rsid w:val="002B4850"/>
    <w:rsid w:val="002B53A2"/>
    <w:rsid w:val="002B5BD3"/>
    <w:rsid w:val="002B6927"/>
    <w:rsid w:val="002B69B1"/>
    <w:rsid w:val="002B6DA0"/>
    <w:rsid w:val="002B7CFC"/>
    <w:rsid w:val="002C093A"/>
    <w:rsid w:val="002C1045"/>
    <w:rsid w:val="002C14B0"/>
    <w:rsid w:val="002C17A4"/>
    <w:rsid w:val="002C1817"/>
    <w:rsid w:val="002C2830"/>
    <w:rsid w:val="002C3044"/>
    <w:rsid w:val="002C3346"/>
    <w:rsid w:val="002C459E"/>
    <w:rsid w:val="002C488E"/>
    <w:rsid w:val="002C48A4"/>
    <w:rsid w:val="002C54EA"/>
    <w:rsid w:val="002C57B1"/>
    <w:rsid w:val="002C5B88"/>
    <w:rsid w:val="002C6B64"/>
    <w:rsid w:val="002D0008"/>
    <w:rsid w:val="002D06DE"/>
    <w:rsid w:val="002D0F00"/>
    <w:rsid w:val="002D147A"/>
    <w:rsid w:val="002D14BF"/>
    <w:rsid w:val="002D17C3"/>
    <w:rsid w:val="002D18D0"/>
    <w:rsid w:val="002D1936"/>
    <w:rsid w:val="002D1C3E"/>
    <w:rsid w:val="002D2160"/>
    <w:rsid w:val="002D2BAB"/>
    <w:rsid w:val="002D370E"/>
    <w:rsid w:val="002D3A53"/>
    <w:rsid w:val="002D3D55"/>
    <w:rsid w:val="002D4001"/>
    <w:rsid w:val="002D4108"/>
    <w:rsid w:val="002D49DF"/>
    <w:rsid w:val="002D4F08"/>
    <w:rsid w:val="002D532E"/>
    <w:rsid w:val="002D53D6"/>
    <w:rsid w:val="002D651C"/>
    <w:rsid w:val="002D6FC1"/>
    <w:rsid w:val="002D786B"/>
    <w:rsid w:val="002D7AEE"/>
    <w:rsid w:val="002D7E74"/>
    <w:rsid w:val="002E01EB"/>
    <w:rsid w:val="002E0332"/>
    <w:rsid w:val="002E037E"/>
    <w:rsid w:val="002E097A"/>
    <w:rsid w:val="002E0DD4"/>
    <w:rsid w:val="002E1DA9"/>
    <w:rsid w:val="002E29A7"/>
    <w:rsid w:val="002E3679"/>
    <w:rsid w:val="002E4738"/>
    <w:rsid w:val="002E50A4"/>
    <w:rsid w:val="002E5DBE"/>
    <w:rsid w:val="002E5FB7"/>
    <w:rsid w:val="002E64CA"/>
    <w:rsid w:val="002E6920"/>
    <w:rsid w:val="002E6F46"/>
    <w:rsid w:val="002E726E"/>
    <w:rsid w:val="002E73A2"/>
    <w:rsid w:val="002F0155"/>
    <w:rsid w:val="002F06B0"/>
    <w:rsid w:val="002F1DBD"/>
    <w:rsid w:val="002F4294"/>
    <w:rsid w:val="002F5C55"/>
    <w:rsid w:val="002F6A53"/>
    <w:rsid w:val="002F6AAF"/>
    <w:rsid w:val="002F6B20"/>
    <w:rsid w:val="002F6F93"/>
    <w:rsid w:val="002F7019"/>
    <w:rsid w:val="00300DFA"/>
    <w:rsid w:val="00302295"/>
    <w:rsid w:val="0030258E"/>
    <w:rsid w:val="00302728"/>
    <w:rsid w:val="003028FC"/>
    <w:rsid w:val="00302A7C"/>
    <w:rsid w:val="003031C1"/>
    <w:rsid w:val="00304B0E"/>
    <w:rsid w:val="00305082"/>
    <w:rsid w:val="00305A19"/>
    <w:rsid w:val="00305EC1"/>
    <w:rsid w:val="00306361"/>
    <w:rsid w:val="00306F26"/>
    <w:rsid w:val="00307E84"/>
    <w:rsid w:val="0031047C"/>
    <w:rsid w:val="003107DC"/>
    <w:rsid w:val="00310AEC"/>
    <w:rsid w:val="00310E18"/>
    <w:rsid w:val="003127CE"/>
    <w:rsid w:val="0031291F"/>
    <w:rsid w:val="00312EAA"/>
    <w:rsid w:val="00313EA4"/>
    <w:rsid w:val="0031445A"/>
    <w:rsid w:val="0031742E"/>
    <w:rsid w:val="00320275"/>
    <w:rsid w:val="003209E6"/>
    <w:rsid w:val="00321807"/>
    <w:rsid w:val="00321E05"/>
    <w:rsid w:val="00321FA3"/>
    <w:rsid w:val="003235D6"/>
    <w:rsid w:val="00323614"/>
    <w:rsid w:val="003243D7"/>
    <w:rsid w:val="0032447F"/>
    <w:rsid w:val="0032673F"/>
    <w:rsid w:val="003301CE"/>
    <w:rsid w:val="003306F4"/>
    <w:rsid w:val="003317F5"/>
    <w:rsid w:val="00331A5A"/>
    <w:rsid w:val="00331F13"/>
    <w:rsid w:val="0033343C"/>
    <w:rsid w:val="00334F63"/>
    <w:rsid w:val="00335041"/>
    <w:rsid w:val="00335418"/>
    <w:rsid w:val="00336F45"/>
    <w:rsid w:val="00340004"/>
    <w:rsid w:val="003406F8"/>
    <w:rsid w:val="00340A4A"/>
    <w:rsid w:val="00340C99"/>
    <w:rsid w:val="00340F7B"/>
    <w:rsid w:val="00341860"/>
    <w:rsid w:val="0034188C"/>
    <w:rsid w:val="003427CA"/>
    <w:rsid w:val="003435A1"/>
    <w:rsid w:val="0034456D"/>
    <w:rsid w:val="003446E7"/>
    <w:rsid w:val="00344770"/>
    <w:rsid w:val="00344F2B"/>
    <w:rsid w:val="00345805"/>
    <w:rsid w:val="00345B9F"/>
    <w:rsid w:val="00346E49"/>
    <w:rsid w:val="003479F2"/>
    <w:rsid w:val="003479F6"/>
    <w:rsid w:val="00350043"/>
    <w:rsid w:val="003525B5"/>
    <w:rsid w:val="00352E41"/>
    <w:rsid w:val="0035309C"/>
    <w:rsid w:val="003531B6"/>
    <w:rsid w:val="00353CCC"/>
    <w:rsid w:val="00354B97"/>
    <w:rsid w:val="00355D2F"/>
    <w:rsid w:val="00356B38"/>
    <w:rsid w:val="00360715"/>
    <w:rsid w:val="003609E9"/>
    <w:rsid w:val="003639CC"/>
    <w:rsid w:val="00363B69"/>
    <w:rsid w:val="003646EE"/>
    <w:rsid w:val="0036494F"/>
    <w:rsid w:val="0036541C"/>
    <w:rsid w:val="003659D3"/>
    <w:rsid w:val="00365BC5"/>
    <w:rsid w:val="003669BB"/>
    <w:rsid w:val="00367037"/>
    <w:rsid w:val="003673F8"/>
    <w:rsid w:val="003674A4"/>
    <w:rsid w:val="00367573"/>
    <w:rsid w:val="00367587"/>
    <w:rsid w:val="00367B0B"/>
    <w:rsid w:val="0037000C"/>
    <w:rsid w:val="003737AE"/>
    <w:rsid w:val="00374716"/>
    <w:rsid w:val="00374E38"/>
    <w:rsid w:val="0037559B"/>
    <w:rsid w:val="00375656"/>
    <w:rsid w:val="00375A96"/>
    <w:rsid w:val="00375DA4"/>
    <w:rsid w:val="00376471"/>
    <w:rsid w:val="003770DC"/>
    <w:rsid w:val="00382993"/>
    <w:rsid w:val="00382A54"/>
    <w:rsid w:val="00383CD8"/>
    <w:rsid w:val="00384384"/>
    <w:rsid w:val="0038439C"/>
    <w:rsid w:val="0038464B"/>
    <w:rsid w:val="00384C20"/>
    <w:rsid w:val="00386964"/>
    <w:rsid w:val="00386E78"/>
    <w:rsid w:val="003908CA"/>
    <w:rsid w:val="00393900"/>
    <w:rsid w:val="00394040"/>
    <w:rsid w:val="0039489C"/>
    <w:rsid w:val="00394DD1"/>
    <w:rsid w:val="00395197"/>
    <w:rsid w:val="00395229"/>
    <w:rsid w:val="00395A3C"/>
    <w:rsid w:val="00395E65"/>
    <w:rsid w:val="003968F1"/>
    <w:rsid w:val="00396ABC"/>
    <w:rsid w:val="00397540"/>
    <w:rsid w:val="00397AFA"/>
    <w:rsid w:val="003A0984"/>
    <w:rsid w:val="003A15EA"/>
    <w:rsid w:val="003A2A53"/>
    <w:rsid w:val="003A40D2"/>
    <w:rsid w:val="003A5972"/>
    <w:rsid w:val="003A59A7"/>
    <w:rsid w:val="003A69C8"/>
    <w:rsid w:val="003A74C7"/>
    <w:rsid w:val="003A79BE"/>
    <w:rsid w:val="003B00F8"/>
    <w:rsid w:val="003B15E3"/>
    <w:rsid w:val="003B19FE"/>
    <w:rsid w:val="003B2116"/>
    <w:rsid w:val="003B4466"/>
    <w:rsid w:val="003B487E"/>
    <w:rsid w:val="003B4A8E"/>
    <w:rsid w:val="003B4B06"/>
    <w:rsid w:val="003B539C"/>
    <w:rsid w:val="003B6E41"/>
    <w:rsid w:val="003B769F"/>
    <w:rsid w:val="003C0757"/>
    <w:rsid w:val="003C0DBE"/>
    <w:rsid w:val="003C1748"/>
    <w:rsid w:val="003C1992"/>
    <w:rsid w:val="003C25BA"/>
    <w:rsid w:val="003C3241"/>
    <w:rsid w:val="003C34B6"/>
    <w:rsid w:val="003C399F"/>
    <w:rsid w:val="003C4F0E"/>
    <w:rsid w:val="003C52E5"/>
    <w:rsid w:val="003C5BF4"/>
    <w:rsid w:val="003C69E4"/>
    <w:rsid w:val="003C6E44"/>
    <w:rsid w:val="003C7FEC"/>
    <w:rsid w:val="003D071E"/>
    <w:rsid w:val="003D0905"/>
    <w:rsid w:val="003D1634"/>
    <w:rsid w:val="003D1E6B"/>
    <w:rsid w:val="003D2B5C"/>
    <w:rsid w:val="003D4CEE"/>
    <w:rsid w:val="003D4D9B"/>
    <w:rsid w:val="003D5388"/>
    <w:rsid w:val="003D57EA"/>
    <w:rsid w:val="003D6C9E"/>
    <w:rsid w:val="003D719E"/>
    <w:rsid w:val="003E00E5"/>
    <w:rsid w:val="003E01BD"/>
    <w:rsid w:val="003E0F57"/>
    <w:rsid w:val="003E1ED9"/>
    <w:rsid w:val="003E2DED"/>
    <w:rsid w:val="003E2EA2"/>
    <w:rsid w:val="003E5671"/>
    <w:rsid w:val="003E608E"/>
    <w:rsid w:val="003E6213"/>
    <w:rsid w:val="003E639C"/>
    <w:rsid w:val="003E63C5"/>
    <w:rsid w:val="003E6434"/>
    <w:rsid w:val="003E67BA"/>
    <w:rsid w:val="003E6EDD"/>
    <w:rsid w:val="003F05E3"/>
    <w:rsid w:val="003F0850"/>
    <w:rsid w:val="003F12E9"/>
    <w:rsid w:val="003F1684"/>
    <w:rsid w:val="003F2B72"/>
    <w:rsid w:val="003F32AC"/>
    <w:rsid w:val="003F36FA"/>
    <w:rsid w:val="003F3831"/>
    <w:rsid w:val="003F4B54"/>
    <w:rsid w:val="003F5009"/>
    <w:rsid w:val="003F618D"/>
    <w:rsid w:val="00400EB3"/>
    <w:rsid w:val="0040109E"/>
    <w:rsid w:val="004010F8"/>
    <w:rsid w:val="00401DDA"/>
    <w:rsid w:val="004027AF"/>
    <w:rsid w:val="00402BAE"/>
    <w:rsid w:val="004033AC"/>
    <w:rsid w:val="004033CC"/>
    <w:rsid w:val="00404E5F"/>
    <w:rsid w:val="00404ED5"/>
    <w:rsid w:val="0040594F"/>
    <w:rsid w:val="00405E45"/>
    <w:rsid w:val="00405E86"/>
    <w:rsid w:val="0040618F"/>
    <w:rsid w:val="00406F64"/>
    <w:rsid w:val="00407589"/>
    <w:rsid w:val="00410D32"/>
    <w:rsid w:val="004113E6"/>
    <w:rsid w:val="004125B6"/>
    <w:rsid w:val="00412CD0"/>
    <w:rsid w:val="0041314E"/>
    <w:rsid w:val="00414299"/>
    <w:rsid w:val="00414C0C"/>
    <w:rsid w:val="004158EF"/>
    <w:rsid w:val="00415E4A"/>
    <w:rsid w:val="004175E2"/>
    <w:rsid w:val="00420099"/>
    <w:rsid w:val="00420B6F"/>
    <w:rsid w:val="004246DE"/>
    <w:rsid w:val="00424CCF"/>
    <w:rsid w:val="0042549A"/>
    <w:rsid w:val="00425577"/>
    <w:rsid w:val="00426042"/>
    <w:rsid w:val="00426504"/>
    <w:rsid w:val="00426671"/>
    <w:rsid w:val="00427C1A"/>
    <w:rsid w:val="00430665"/>
    <w:rsid w:val="004310B0"/>
    <w:rsid w:val="0043145D"/>
    <w:rsid w:val="00432744"/>
    <w:rsid w:val="004329D3"/>
    <w:rsid w:val="004332B6"/>
    <w:rsid w:val="00433805"/>
    <w:rsid w:val="00434420"/>
    <w:rsid w:val="004350FC"/>
    <w:rsid w:val="004355F0"/>
    <w:rsid w:val="00435952"/>
    <w:rsid w:val="0043624B"/>
    <w:rsid w:val="004364D2"/>
    <w:rsid w:val="0043744D"/>
    <w:rsid w:val="004379DF"/>
    <w:rsid w:val="00440514"/>
    <w:rsid w:val="0044131D"/>
    <w:rsid w:val="00441F74"/>
    <w:rsid w:val="00442178"/>
    <w:rsid w:val="0044249C"/>
    <w:rsid w:val="00442834"/>
    <w:rsid w:val="004428D6"/>
    <w:rsid w:val="00442F13"/>
    <w:rsid w:val="00443E0D"/>
    <w:rsid w:val="00444775"/>
    <w:rsid w:val="00444C4A"/>
    <w:rsid w:val="00444CF3"/>
    <w:rsid w:val="004462DD"/>
    <w:rsid w:val="0044672C"/>
    <w:rsid w:val="00446DE2"/>
    <w:rsid w:val="00447307"/>
    <w:rsid w:val="00450138"/>
    <w:rsid w:val="00450295"/>
    <w:rsid w:val="004502A5"/>
    <w:rsid w:val="0045063B"/>
    <w:rsid w:val="00450836"/>
    <w:rsid w:val="0045205A"/>
    <w:rsid w:val="00452AFC"/>
    <w:rsid w:val="00452CE4"/>
    <w:rsid w:val="004534E6"/>
    <w:rsid w:val="00454020"/>
    <w:rsid w:val="00454BBC"/>
    <w:rsid w:val="00454C8C"/>
    <w:rsid w:val="00454EDC"/>
    <w:rsid w:val="00455553"/>
    <w:rsid w:val="00455971"/>
    <w:rsid w:val="004565C6"/>
    <w:rsid w:val="00456692"/>
    <w:rsid w:val="0045691E"/>
    <w:rsid w:val="00456D38"/>
    <w:rsid w:val="00457B81"/>
    <w:rsid w:val="00457DBD"/>
    <w:rsid w:val="00457FF1"/>
    <w:rsid w:val="00460DE5"/>
    <w:rsid w:val="00461779"/>
    <w:rsid w:val="004620FD"/>
    <w:rsid w:val="004621C6"/>
    <w:rsid w:val="004628BE"/>
    <w:rsid w:val="004633CA"/>
    <w:rsid w:val="004648BA"/>
    <w:rsid w:val="00464C40"/>
    <w:rsid w:val="00465914"/>
    <w:rsid w:val="004659A6"/>
    <w:rsid w:val="004662E4"/>
    <w:rsid w:val="0046710B"/>
    <w:rsid w:val="0046750F"/>
    <w:rsid w:val="004676BA"/>
    <w:rsid w:val="00467B7D"/>
    <w:rsid w:val="0047135E"/>
    <w:rsid w:val="00471685"/>
    <w:rsid w:val="00471A01"/>
    <w:rsid w:val="00471AB4"/>
    <w:rsid w:val="00471B0B"/>
    <w:rsid w:val="0047300A"/>
    <w:rsid w:val="004733BA"/>
    <w:rsid w:val="00473EFD"/>
    <w:rsid w:val="0047433C"/>
    <w:rsid w:val="004749F3"/>
    <w:rsid w:val="004752F6"/>
    <w:rsid w:val="00476107"/>
    <w:rsid w:val="00476424"/>
    <w:rsid w:val="0047665A"/>
    <w:rsid w:val="004766B4"/>
    <w:rsid w:val="00476F8C"/>
    <w:rsid w:val="0047774B"/>
    <w:rsid w:val="004804A3"/>
    <w:rsid w:val="00480BD4"/>
    <w:rsid w:val="00480BFC"/>
    <w:rsid w:val="004814B8"/>
    <w:rsid w:val="004816A3"/>
    <w:rsid w:val="00481748"/>
    <w:rsid w:val="00481958"/>
    <w:rsid w:val="00482913"/>
    <w:rsid w:val="00483053"/>
    <w:rsid w:val="004841C3"/>
    <w:rsid w:val="00484783"/>
    <w:rsid w:val="00485D77"/>
    <w:rsid w:val="00486A12"/>
    <w:rsid w:val="00486BD2"/>
    <w:rsid w:val="0048754A"/>
    <w:rsid w:val="004909B0"/>
    <w:rsid w:val="0049145E"/>
    <w:rsid w:val="00491ADC"/>
    <w:rsid w:val="00491F47"/>
    <w:rsid w:val="0049295D"/>
    <w:rsid w:val="004943FB"/>
    <w:rsid w:val="00494772"/>
    <w:rsid w:val="00494A44"/>
    <w:rsid w:val="00494EA8"/>
    <w:rsid w:val="0049542C"/>
    <w:rsid w:val="0049637C"/>
    <w:rsid w:val="004A0AB4"/>
    <w:rsid w:val="004A131F"/>
    <w:rsid w:val="004A1680"/>
    <w:rsid w:val="004A1C80"/>
    <w:rsid w:val="004A1CEB"/>
    <w:rsid w:val="004A2363"/>
    <w:rsid w:val="004A26F1"/>
    <w:rsid w:val="004A2D78"/>
    <w:rsid w:val="004A314F"/>
    <w:rsid w:val="004A3323"/>
    <w:rsid w:val="004A3E03"/>
    <w:rsid w:val="004A56D5"/>
    <w:rsid w:val="004A57A4"/>
    <w:rsid w:val="004A5EFD"/>
    <w:rsid w:val="004A70BA"/>
    <w:rsid w:val="004A7364"/>
    <w:rsid w:val="004A78E1"/>
    <w:rsid w:val="004B02F9"/>
    <w:rsid w:val="004B049D"/>
    <w:rsid w:val="004B05CB"/>
    <w:rsid w:val="004B12A8"/>
    <w:rsid w:val="004B15D5"/>
    <w:rsid w:val="004B2E80"/>
    <w:rsid w:val="004B3716"/>
    <w:rsid w:val="004B3754"/>
    <w:rsid w:val="004B3848"/>
    <w:rsid w:val="004B3DA5"/>
    <w:rsid w:val="004B6023"/>
    <w:rsid w:val="004B61DE"/>
    <w:rsid w:val="004B6267"/>
    <w:rsid w:val="004B6515"/>
    <w:rsid w:val="004B6538"/>
    <w:rsid w:val="004B6606"/>
    <w:rsid w:val="004B6C19"/>
    <w:rsid w:val="004B6E39"/>
    <w:rsid w:val="004B72C7"/>
    <w:rsid w:val="004B79A0"/>
    <w:rsid w:val="004B7B2E"/>
    <w:rsid w:val="004C0A4C"/>
    <w:rsid w:val="004C0E93"/>
    <w:rsid w:val="004C10E6"/>
    <w:rsid w:val="004C128E"/>
    <w:rsid w:val="004C1366"/>
    <w:rsid w:val="004C1B0C"/>
    <w:rsid w:val="004C2273"/>
    <w:rsid w:val="004C28D1"/>
    <w:rsid w:val="004C2D39"/>
    <w:rsid w:val="004C3FB7"/>
    <w:rsid w:val="004C4028"/>
    <w:rsid w:val="004C4A48"/>
    <w:rsid w:val="004C5AC4"/>
    <w:rsid w:val="004C5AF9"/>
    <w:rsid w:val="004C6120"/>
    <w:rsid w:val="004C65BD"/>
    <w:rsid w:val="004C71E0"/>
    <w:rsid w:val="004C74C7"/>
    <w:rsid w:val="004C7FEA"/>
    <w:rsid w:val="004D2C87"/>
    <w:rsid w:val="004D2C97"/>
    <w:rsid w:val="004D2D8D"/>
    <w:rsid w:val="004D372E"/>
    <w:rsid w:val="004D3D81"/>
    <w:rsid w:val="004D438C"/>
    <w:rsid w:val="004D48B5"/>
    <w:rsid w:val="004D4A84"/>
    <w:rsid w:val="004D504A"/>
    <w:rsid w:val="004D522D"/>
    <w:rsid w:val="004D5389"/>
    <w:rsid w:val="004D5B34"/>
    <w:rsid w:val="004D5CD0"/>
    <w:rsid w:val="004D6C58"/>
    <w:rsid w:val="004E2207"/>
    <w:rsid w:val="004E3586"/>
    <w:rsid w:val="004E37EE"/>
    <w:rsid w:val="004E3BD2"/>
    <w:rsid w:val="004E437D"/>
    <w:rsid w:val="004E43CE"/>
    <w:rsid w:val="004E5061"/>
    <w:rsid w:val="004E735B"/>
    <w:rsid w:val="004F0574"/>
    <w:rsid w:val="004F0C19"/>
    <w:rsid w:val="004F15D6"/>
    <w:rsid w:val="004F2D7C"/>
    <w:rsid w:val="004F34B4"/>
    <w:rsid w:val="004F451B"/>
    <w:rsid w:val="004F5355"/>
    <w:rsid w:val="004F5466"/>
    <w:rsid w:val="004F5661"/>
    <w:rsid w:val="004F566F"/>
    <w:rsid w:val="004F5A1C"/>
    <w:rsid w:val="004F5B45"/>
    <w:rsid w:val="0050031C"/>
    <w:rsid w:val="005007FC"/>
    <w:rsid w:val="00500AC6"/>
    <w:rsid w:val="005017A2"/>
    <w:rsid w:val="0050268E"/>
    <w:rsid w:val="00503640"/>
    <w:rsid w:val="005039DE"/>
    <w:rsid w:val="00504034"/>
    <w:rsid w:val="00504796"/>
    <w:rsid w:val="00504FB3"/>
    <w:rsid w:val="00505E58"/>
    <w:rsid w:val="00506787"/>
    <w:rsid w:val="00507A55"/>
    <w:rsid w:val="00507DF0"/>
    <w:rsid w:val="00507EDB"/>
    <w:rsid w:val="00510918"/>
    <w:rsid w:val="00510E87"/>
    <w:rsid w:val="0051106A"/>
    <w:rsid w:val="005112EA"/>
    <w:rsid w:val="005124A6"/>
    <w:rsid w:val="0051254F"/>
    <w:rsid w:val="00512895"/>
    <w:rsid w:val="00513468"/>
    <w:rsid w:val="00514B8D"/>
    <w:rsid w:val="00514E90"/>
    <w:rsid w:val="00515A3D"/>
    <w:rsid w:val="00516360"/>
    <w:rsid w:val="00516377"/>
    <w:rsid w:val="005166E5"/>
    <w:rsid w:val="005168D4"/>
    <w:rsid w:val="00516E7E"/>
    <w:rsid w:val="00517026"/>
    <w:rsid w:val="00517965"/>
    <w:rsid w:val="00521ACC"/>
    <w:rsid w:val="00522156"/>
    <w:rsid w:val="005226EE"/>
    <w:rsid w:val="00522E45"/>
    <w:rsid w:val="00522EC7"/>
    <w:rsid w:val="00524DC6"/>
    <w:rsid w:val="00525519"/>
    <w:rsid w:val="00525B63"/>
    <w:rsid w:val="00525D88"/>
    <w:rsid w:val="00526212"/>
    <w:rsid w:val="0052625E"/>
    <w:rsid w:val="005266B3"/>
    <w:rsid w:val="005273D1"/>
    <w:rsid w:val="00527FEA"/>
    <w:rsid w:val="005306C5"/>
    <w:rsid w:val="00531267"/>
    <w:rsid w:val="00531CE1"/>
    <w:rsid w:val="00531D3B"/>
    <w:rsid w:val="00532390"/>
    <w:rsid w:val="005328CF"/>
    <w:rsid w:val="00532B7F"/>
    <w:rsid w:val="005331CF"/>
    <w:rsid w:val="0053328A"/>
    <w:rsid w:val="005360F9"/>
    <w:rsid w:val="00536149"/>
    <w:rsid w:val="005373A7"/>
    <w:rsid w:val="00537A90"/>
    <w:rsid w:val="0054064B"/>
    <w:rsid w:val="00540C5B"/>
    <w:rsid w:val="00541765"/>
    <w:rsid w:val="0054183F"/>
    <w:rsid w:val="0054216D"/>
    <w:rsid w:val="005436DD"/>
    <w:rsid w:val="00544500"/>
    <w:rsid w:val="00545521"/>
    <w:rsid w:val="0054597F"/>
    <w:rsid w:val="0054775D"/>
    <w:rsid w:val="00550928"/>
    <w:rsid w:val="00551155"/>
    <w:rsid w:val="0055155B"/>
    <w:rsid w:val="005517A3"/>
    <w:rsid w:val="00551F33"/>
    <w:rsid w:val="0055209F"/>
    <w:rsid w:val="005523F9"/>
    <w:rsid w:val="005526BD"/>
    <w:rsid w:val="005531CE"/>
    <w:rsid w:val="0055358D"/>
    <w:rsid w:val="005539D8"/>
    <w:rsid w:val="00553EA5"/>
    <w:rsid w:val="00553F14"/>
    <w:rsid w:val="0055440C"/>
    <w:rsid w:val="0055476F"/>
    <w:rsid w:val="00554E4D"/>
    <w:rsid w:val="0055571C"/>
    <w:rsid w:val="00556623"/>
    <w:rsid w:val="00556DE8"/>
    <w:rsid w:val="00557698"/>
    <w:rsid w:val="00557991"/>
    <w:rsid w:val="00557F6E"/>
    <w:rsid w:val="0056032F"/>
    <w:rsid w:val="00560621"/>
    <w:rsid w:val="00560F01"/>
    <w:rsid w:val="005611F8"/>
    <w:rsid w:val="00562CA3"/>
    <w:rsid w:val="005635D2"/>
    <w:rsid w:val="0056362C"/>
    <w:rsid w:val="00563D75"/>
    <w:rsid w:val="00563DF8"/>
    <w:rsid w:val="005663B5"/>
    <w:rsid w:val="00566E39"/>
    <w:rsid w:val="00570468"/>
    <w:rsid w:val="00571B68"/>
    <w:rsid w:val="0057219D"/>
    <w:rsid w:val="00572347"/>
    <w:rsid w:val="0057419D"/>
    <w:rsid w:val="00574742"/>
    <w:rsid w:val="0057586D"/>
    <w:rsid w:val="00575BAC"/>
    <w:rsid w:val="00577B62"/>
    <w:rsid w:val="00577EB1"/>
    <w:rsid w:val="00577FBD"/>
    <w:rsid w:val="00580317"/>
    <w:rsid w:val="0058053E"/>
    <w:rsid w:val="00580A19"/>
    <w:rsid w:val="00580C5A"/>
    <w:rsid w:val="00580FA1"/>
    <w:rsid w:val="00581CB1"/>
    <w:rsid w:val="00581CFF"/>
    <w:rsid w:val="00581EC4"/>
    <w:rsid w:val="005821AB"/>
    <w:rsid w:val="005830AE"/>
    <w:rsid w:val="005833B6"/>
    <w:rsid w:val="00583625"/>
    <w:rsid w:val="00584020"/>
    <w:rsid w:val="00584072"/>
    <w:rsid w:val="005843C0"/>
    <w:rsid w:val="00585A68"/>
    <w:rsid w:val="00586B43"/>
    <w:rsid w:val="00586CF2"/>
    <w:rsid w:val="00591191"/>
    <w:rsid w:val="0059120D"/>
    <w:rsid w:val="005919A4"/>
    <w:rsid w:val="00591A2D"/>
    <w:rsid w:val="00591EDB"/>
    <w:rsid w:val="00593029"/>
    <w:rsid w:val="005932D3"/>
    <w:rsid w:val="00593AE2"/>
    <w:rsid w:val="005942D3"/>
    <w:rsid w:val="00594E89"/>
    <w:rsid w:val="00595EEA"/>
    <w:rsid w:val="00595F08"/>
    <w:rsid w:val="005965C5"/>
    <w:rsid w:val="00597C7B"/>
    <w:rsid w:val="005A08A3"/>
    <w:rsid w:val="005A0F9A"/>
    <w:rsid w:val="005A2474"/>
    <w:rsid w:val="005A2722"/>
    <w:rsid w:val="005A2EEC"/>
    <w:rsid w:val="005A3635"/>
    <w:rsid w:val="005A3D97"/>
    <w:rsid w:val="005A43F2"/>
    <w:rsid w:val="005A449B"/>
    <w:rsid w:val="005A52C8"/>
    <w:rsid w:val="005A5C01"/>
    <w:rsid w:val="005A5C32"/>
    <w:rsid w:val="005A6A28"/>
    <w:rsid w:val="005A743B"/>
    <w:rsid w:val="005A75AC"/>
    <w:rsid w:val="005B0269"/>
    <w:rsid w:val="005B2AD6"/>
    <w:rsid w:val="005B2FAB"/>
    <w:rsid w:val="005B34E7"/>
    <w:rsid w:val="005B3DA2"/>
    <w:rsid w:val="005B3F4B"/>
    <w:rsid w:val="005B4119"/>
    <w:rsid w:val="005B48F4"/>
    <w:rsid w:val="005B5536"/>
    <w:rsid w:val="005B5AEC"/>
    <w:rsid w:val="005B5F0E"/>
    <w:rsid w:val="005B650D"/>
    <w:rsid w:val="005B6BAD"/>
    <w:rsid w:val="005B7675"/>
    <w:rsid w:val="005B76E7"/>
    <w:rsid w:val="005B7898"/>
    <w:rsid w:val="005B7CCB"/>
    <w:rsid w:val="005C0155"/>
    <w:rsid w:val="005C0F96"/>
    <w:rsid w:val="005C3719"/>
    <w:rsid w:val="005C42F4"/>
    <w:rsid w:val="005C4D6E"/>
    <w:rsid w:val="005C4D8F"/>
    <w:rsid w:val="005C63A9"/>
    <w:rsid w:val="005C7AF2"/>
    <w:rsid w:val="005D0CDE"/>
    <w:rsid w:val="005D0D25"/>
    <w:rsid w:val="005D14BD"/>
    <w:rsid w:val="005D1706"/>
    <w:rsid w:val="005D2C5A"/>
    <w:rsid w:val="005D2F2E"/>
    <w:rsid w:val="005D3293"/>
    <w:rsid w:val="005D3AA4"/>
    <w:rsid w:val="005D6568"/>
    <w:rsid w:val="005D6C14"/>
    <w:rsid w:val="005D6DE4"/>
    <w:rsid w:val="005D78CE"/>
    <w:rsid w:val="005D7E76"/>
    <w:rsid w:val="005E0489"/>
    <w:rsid w:val="005E0938"/>
    <w:rsid w:val="005E09E1"/>
    <w:rsid w:val="005E12E5"/>
    <w:rsid w:val="005E259F"/>
    <w:rsid w:val="005E2BDD"/>
    <w:rsid w:val="005E418A"/>
    <w:rsid w:val="005E4C9A"/>
    <w:rsid w:val="005E5126"/>
    <w:rsid w:val="005E60BF"/>
    <w:rsid w:val="005E6EE6"/>
    <w:rsid w:val="005F0EBC"/>
    <w:rsid w:val="005F15A4"/>
    <w:rsid w:val="005F1DCC"/>
    <w:rsid w:val="005F26BA"/>
    <w:rsid w:val="005F2D08"/>
    <w:rsid w:val="005F36E5"/>
    <w:rsid w:val="005F616B"/>
    <w:rsid w:val="005F6938"/>
    <w:rsid w:val="006005D3"/>
    <w:rsid w:val="00600C18"/>
    <w:rsid w:val="00600E40"/>
    <w:rsid w:val="00601246"/>
    <w:rsid w:val="006036C4"/>
    <w:rsid w:val="00604B25"/>
    <w:rsid w:val="00605815"/>
    <w:rsid w:val="00607F67"/>
    <w:rsid w:val="00610136"/>
    <w:rsid w:val="00610ADA"/>
    <w:rsid w:val="00610FD4"/>
    <w:rsid w:val="0061190C"/>
    <w:rsid w:val="00611952"/>
    <w:rsid w:val="00611EE4"/>
    <w:rsid w:val="00612C73"/>
    <w:rsid w:val="00612D99"/>
    <w:rsid w:val="00613478"/>
    <w:rsid w:val="00613C1E"/>
    <w:rsid w:val="00613F54"/>
    <w:rsid w:val="00615322"/>
    <w:rsid w:val="00615904"/>
    <w:rsid w:val="00615B46"/>
    <w:rsid w:val="00615CF6"/>
    <w:rsid w:val="00616C82"/>
    <w:rsid w:val="00617083"/>
    <w:rsid w:val="00617838"/>
    <w:rsid w:val="0062036F"/>
    <w:rsid w:val="006204FD"/>
    <w:rsid w:val="00620518"/>
    <w:rsid w:val="006208B5"/>
    <w:rsid w:val="00620F3C"/>
    <w:rsid w:val="00621BC8"/>
    <w:rsid w:val="00621E7D"/>
    <w:rsid w:val="00622167"/>
    <w:rsid w:val="00622760"/>
    <w:rsid w:val="006227F0"/>
    <w:rsid w:val="0062291B"/>
    <w:rsid w:val="00623136"/>
    <w:rsid w:val="006236A8"/>
    <w:rsid w:val="00623CB5"/>
    <w:rsid w:val="00624A71"/>
    <w:rsid w:val="00625D37"/>
    <w:rsid w:val="006264A5"/>
    <w:rsid w:val="006269F8"/>
    <w:rsid w:val="00626E3B"/>
    <w:rsid w:val="006275E5"/>
    <w:rsid w:val="00627741"/>
    <w:rsid w:val="0062798B"/>
    <w:rsid w:val="00630350"/>
    <w:rsid w:val="00630A73"/>
    <w:rsid w:val="006313F9"/>
    <w:rsid w:val="00631EFD"/>
    <w:rsid w:val="006321DF"/>
    <w:rsid w:val="0063239B"/>
    <w:rsid w:val="006323A8"/>
    <w:rsid w:val="0063311B"/>
    <w:rsid w:val="0063366E"/>
    <w:rsid w:val="006352B4"/>
    <w:rsid w:val="00635F06"/>
    <w:rsid w:val="00636992"/>
    <w:rsid w:val="00637B39"/>
    <w:rsid w:val="00637CFD"/>
    <w:rsid w:val="00641B58"/>
    <w:rsid w:val="00642909"/>
    <w:rsid w:val="006435C7"/>
    <w:rsid w:val="00643E6F"/>
    <w:rsid w:val="0064496B"/>
    <w:rsid w:val="006456BF"/>
    <w:rsid w:val="00645BBA"/>
    <w:rsid w:val="00650247"/>
    <w:rsid w:val="0065077B"/>
    <w:rsid w:val="00650CC7"/>
    <w:rsid w:val="0065151D"/>
    <w:rsid w:val="0065191E"/>
    <w:rsid w:val="00651A92"/>
    <w:rsid w:val="00652899"/>
    <w:rsid w:val="00653210"/>
    <w:rsid w:val="006535D3"/>
    <w:rsid w:val="0065634C"/>
    <w:rsid w:val="0066144A"/>
    <w:rsid w:val="00661CAC"/>
    <w:rsid w:val="00661DDF"/>
    <w:rsid w:val="00661E0F"/>
    <w:rsid w:val="006620F6"/>
    <w:rsid w:val="0066214B"/>
    <w:rsid w:val="006621B1"/>
    <w:rsid w:val="00663B39"/>
    <w:rsid w:val="00664459"/>
    <w:rsid w:val="006654C2"/>
    <w:rsid w:val="00665B4D"/>
    <w:rsid w:val="00666FAB"/>
    <w:rsid w:val="00670264"/>
    <w:rsid w:val="00670500"/>
    <w:rsid w:val="006707B3"/>
    <w:rsid w:val="00670BBF"/>
    <w:rsid w:val="006720AD"/>
    <w:rsid w:val="00672230"/>
    <w:rsid w:val="00673F95"/>
    <w:rsid w:val="006748AA"/>
    <w:rsid w:val="00674A9B"/>
    <w:rsid w:val="0067605A"/>
    <w:rsid w:val="00676963"/>
    <w:rsid w:val="00676A98"/>
    <w:rsid w:val="0067712B"/>
    <w:rsid w:val="006775F5"/>
    <w:rsid w:val="0067783D"/>
    <w:rsid w:val="00680D3E"/>
    <w:rsid w:val="00680D69"/>
    <w:rsid w:val="0068154F"/>
    <w:rsid w:val="00682797"/>
    <w:rsid w:val="006835CA"/>
    <w:rsid w:val="00683786"/>
    <w:rsid w:val="006857FF"/>
    <w:rsid w:val="00686338"/>
    <w:rsid w:val="00686AF0"/>
    <w:rsid w:val="00686F52"/>
    <w:rsid w:val="00687F37"/>
    <w:rsid w:val="0069051E"/>
    <w:rsid w:val="00690A96"/>
    <w:rsid w:val="00690C07"/>
    <w:rsid w:val="00690D87"/>
    <w:rsid w:val="006910B6"/>
    <w:rsid w:val="006910F8"/>
    <w:rsid w:val="00692047"/>
    <w:rsid w:val="0069238F"/>
    <w:rsid w:val="006928BE"/>
    <w:rsid w:val="00692E89"/>
    <w:rsid w:val="00693794"/>
    <w:rsid w:val="00693A28"/>
    <w:rsid w:val="006941C3"/>
    <w:rsid w:val="00694563"/>
    <w:rsid w:val="0069499A"/>
    <w:rsid w:val="00696625"/>
    <w:rsid w:val="00696FAE"/>
    <w:rsid w:val="006A07D6"/>
    <w:rsid w:val="006A26DD"/>
    <w:rsid w:val="006A2FCD"/>
    <w:rsid w:val="006A38DF"/>
    <w:rsid w:val="006A3B05"/>
    <w:rsid w:val="006A4291"/>
    <w:rsid w:val="006A4A9F"/>
    <w:rsid w:val="006A5004"/>
    <w:rsid w:val="006A53C4"/>
    <w:rsid w:val="006A6344"/>
    <w:rsid w:val="006A7728"/>
    <w:rsid w:val="006A796E"/>
    <w:rsid w:val="006A7A0D"/>
    <w:rsid w:val="006B03FA"/>
    <w:rsid w:val="006B1570"/>
    <w:rsid w:val="006B250C"/>
    <w:rsid w:val="006B30A9"/>
    <w:rsid w:val="006B3108"/>
    <w:rsid w:val="006B324F"/>
    <w:rsid w:val="006B3299"/>
    <w:rsid w:val="006B419C"/>
    <w:rsid w:val="006B4418"/>
    <w:rsid w:val="006B4B57"/>
    <w:rsid w:val="006B4FED"/>
    <w:rsid w:val="006B5BAD"/>
    <w:rsid w:val="006B6171"/>
    <w:rsid w:val="006B68D2"/>
    <w:rsid w:val="006C0497"/>
    <w:rsid w:val="006C06FB"/>
    <w:rsid w:val="006C08C7"/>
    <w:rsid w:val="006C0A87"/>
    <w:rsid w:val="006C137E"/>
    <w:rsid w:val="006C13D5"/>
    <w:rsid w:val="006C1F60"/>
    <w:rsid w:val="006C21C7"/>
    <w:rsid w:val="006C2258"/>
    <w:rsid w:val="006C274C"/>
    <w:rsid w:val="006C2ECE"/>
    <w:rsid w:val="006C36A6"/>
    <w:rsid w:val="006C3C8A"/>
    <w:rsid w:val="006C471E"/>
    <w:rsid w:val="006C6596"/>
    <w:rsid w:val="006C7FB8"/>
    <w:rsid w:val="006D046E"/>
    <w:rsid w:val="006D169E"/>
    <w:rsid w:val="006D183C"/>
    <w:rsid w:val="006D18B3"/>
    <w:rsid w:val="006D1FBC"/>
    <w:rsid w:val="006D287F"/>
    <w:rsid w:val="006D29FF"/>
    <w:rsid w:val="006D2B11"/>
    <w:rsid w:val="006D3B8C"/>
    <w:rsid w:val="006D3D1B"/>
    <w:rsid w:val="006D4C1A"/>
    <w:rsid w:val="006D572B"/>
    <w:rsid w:val="006D5F2A"/>
    <w:rsid w:val="006D5FDD"/>
    <w:rsid w:val="006D674C"/>
    <w:rsid w:val="006D7195"/>
    <w:rsid w:val="006D7B32"/>
    <w:rsid w:val="006E0094"/>
    <w:rsid w:val="006E021A"/>
    <w:rsid w:val="006E0409"/>
    <w:rsid w:val="006E1606"/>
    <w:rsid w:val="006E2E3A"/>
    <w:rsid w:val="006E3129"/>
    <w:rsid w:val="006E3712"/>
    <w:rsid w:val="006E3737"/>
    <w:rsid w:val="006E4029"/>
    <w:rsid w:val="006E4344"/>
    <w:rsid w:val="006E468E"/>
    <w:rsid w:val="006E5081"/>
    <w:rsid w:val="006E6860"/>
    <w:rsid w:val="006E7369"/>
    <w:rsid w:val="006E7A93"/>
    <w:rsid w:val="006F0017"/>
    <w:rsid w:val="006F0168"/>
    <w:rsid w:val="006F1EEB"/>
    <w:rsid w:val="006F2428"/>
    <w:rsid w:val="006F2B89"/>
    <w:rsid w:val="006F3492"/>
    <w:rsid w:val="006F4DF5"/>
    <w:rsid w:val="006F4F15"/>
    <w:rsid w:val="006F55F2"/>
    <w:rsid w:val="006F594D"/>
    <w:rsid w:val="006F72FE"/>
    <w:rsid w:val="00700657"/>
    <w:rsid w:val="00700AE4"/>
    <w:rsid w:val="007012C2"/>
    <w:rsid w:val="00701610"/>
    <w:rsid w:val="00701616"/>
    <w:rsid w:val="007032CF"/>
    <w:rsid w:val="00703355"/>
    <w:rsid w:val="007040D4"/>
    <w:rsid w:val="00704852"/>
    <w:rsid w:val="007066B9"/>
    <w:rsid w:val="00706AE1"/>
    <w:rsid w:val="00706EA2"/>
    <w:rsid w:val="00710D5D"/>
    <w:rsid w:val="0071119A"/>
    <w:rsid w:val="00711FBE"/>
    <w:rsid w:val="0071200B"/>
    <w:rsid w:val="00712613"/>
    <w:rsid w:val="00712BDE"/>
    <w:rsid w:val="00713B12"/>
    <w:rsid w:val="007140C6"/>
    <w:rsid w:val="00714F49"/>
    <w:rsid w:val="007155AD"/>
    <w:rsid w:val="00715F07"/>
    <w:rsid w:val="00716422"/>
    <w:rsid w:val="00716539"/>
    <w:rsid w:val="0071684F"/>
    <w:rsid w:val="00716B8A"/>
    <w:rsid w:val="007172C9"/>
    <w:rsid w:val="00717F40"/>
    <w:rsid w:val="00720300"/>
    <w:rsid w:val="007216B5"/>
    <w:rsid w:val="00722BD0"/>
    <w:rsid w:val="00725129"/>
    <w:rsid w:val="00725471"/>
    <w:rsid w:val="007263A6"/>
    <w:rsid w:val="00726CFA"/>
    <w:rsid w:val="007304C5"/>
    <w:rsid w:val="00731074"/>
    <w:rsid w:val="007313E7"/>
    <w:rsid w:val="007315CD"/>
    <w:rsid w:val="00731D25"/>
    <w:rsid w:val="007325C6"/>
    <w:rsid w:val="00732A9E"/>
    <w:rsid w:val="00734800"/>
    <w:rsid w:val="00734F60"/>
    <w:rsid w:val="00736848"/>
    <w:rsid w:val="00736EB3"/>
    <w:rsid w:val="00736F7C"/>
    <w:rsid w:val="007409E0"/>
    <w:rsid w:val="00740B30"/>
    <w:rsid w:val="00741944"/>
    <w:rsid w:val="007422DD"/>
    <w:rsid w:val="00743090"/>
    <w:rsid w:val="00743A4B"/>
    <w:rsid w:val="00743E0F"/>
    <w:rsid w:val="00744037"/>
    <w:rsid w:val="007443F5"/>
    <w:rsid w:val="00744DD9"/>
    <w:rsid w:val="00744E55"/>
    <w:rsid w:val="00745713"/>
    <w:rsid w:val="0074778F"/>
    <w:rsid w:val="00747B7B"/>
    <w:rsid w:val="00750AC8"/>
    <w:rsid w:val="00750BAD"/>
    <w:rsid w:val="007511DC"/>
    <w:rsid w:val="00751C4D"/>
    <w:rsid w:val="00751E9C"/>
    <w:rsid w:val="00752036"/>
    <w:rsid w:val="007527B9"/>
    <w:rsid w:val="0075631F"/>
    <w:rsid w:val="00756541"/>
    <w:rsid w:val="00756661"/>
    <w:rsid w:val="0075695C"/>
    <w:rsid w:val="00756E28"/>
    <w:rsid w:val="007570FA"/>
    <w:rsid w:val="00757105"/>
    <w:rsid w:val="007573AD"/>
    <w:rsid w:val="007612EE"/>
    <w:rsid w:val="0076136F"/>
    <w:rsid w:val="007614ED"/>
    <w:rsid w:val="00761FBC"/>
    <w:rsid w:val="00762945"/>
    <w:rsid w:val="007654EA"/>
    <w:rsid w:val="00765718"/>
    <w:rsid w:val="00765D14"/>
    <w:rsid w:val="00766603"/>
    <w:rsid w:val="00767B33"/>
    <w:rsid w:val="007707AD"/>
    <w:rsid w:val="00772411"/>
    <w:rsid w:val="00772FB7"/>
    <w:rsid w:val="00773DEE"/>
    <w:rsid w:val="007760A7"/>
    <w:rsid w:val="0077621A"/>
    <w:rsid w:val="007779A8"/>
    <w:rsid w:val="007812E5"/>
    <w:rsid w:val="00781639"/>
    <w:rsid w:val="00781968"/>
    <w:rsid w:val="00783AA6"/>
    <w:rsid w:val="00783E78"/>
    <w:rsid w:val="00784502"/>
    <w:rsid w:val="00784AAE"/>
    <w:rsid w:val="00784DDE"/>
    <w:rsid w:val="00785460"/>
    <w:rsid w:val="00786E92"/>
    <w:rsid w:val="007873DC"/>
    <w:rsid w:val="007873FC"/>
    <w:rsid w:val="0078755B"/>
    <w:rsid w:val="007876CE"/>
    <w:rsid w:val="007902CB"/>
    <w:rsid w:val="00790D9D"/>
    <w:rsid w:val="00790ED3"/>
    <w:rsid w:val="007924C5"/>
    <w:rsid w:val="00792C7E"/>
    <w:rsid w:val="007933AF"/>
    <w:rsid w:val="00794153"/>
    <w:rsid w:val="007941CE"/>
    <w:rsid w:val="0079444A"/>
    <w:rsid w:val="00794642"/>
    <w:rsid w:val="00795065"/>
    <w:rsid w:val="00797680"/>
    <w:rsid w:val="007979DF"/>
    <w:rsid w:val="00797D23"/>
    <w:rsid w:val="007A0EDA"/>
    <w:rsid w:val="007A2457"/>
    <w:rsid w:val="007A2473"/>
    <w:rsid w:val="007A25D4"/>
    <w:rsid w:val="007A5A33"/>
    <w:rsid w:val="007B0295"/>
    <w:rsid w:val="007B08A4"/>
    <w:rsid w:val="007B14D8"/>
    <w:rsid w:val="007B1AEA"/>
    <w:rsid w:val="007B268C"/>
    <w:rsid w:val="007B2833"/>
    <w:rsid w:val="007B2BDC"/>
    <w:rsid w:val="007B6893"/>
    <w:rsid w:val="007B6CC4"/>
    <w:rsid w:val="007B7458"/>
    <w:rsid w:val="007C03AC"/>
    <w:rsid w:val="007C0A08"/>
    <w:rsid w:val="007C0DC0"/>
    <w:rsid w:val="007C1283"/>
    <w:rsid w:val="007C2E03"/>
    <w:rsid w:val="007C3844"/>
    <w:rsid w:val="007C4808"/>
    <w:rsid w:val="007C4A31"/>
    <w:rsid w:val="007C58C2"/>
    <w:rsid w:val="007C6876"/>
    <w:rsid w:val="007C7DAC"/>
    <w:rsid w:val="007D0095"/>
    <w:rsid w:val="007D0A47"/>
    <w:rsid w:val="007D0F65"/>
    <w:rsid w:val="007D2FDC"/>
    <w:rsid w:val="007D3BFC"/>
    <w:rsid w:val="007D3DCA"/>
    <w:rsid w:val="007D5209"/>
    <w:rsid w:val="007D54BA"/>
    <w:rsid w:val="007D5EBE"/>
    <w:rsid w:val="007D647D"/>
    <w:rsid w:val="007D65DC"/>
    <w:rsid w:val="007D6D95"/>
    <w:rsid w:val="007D6FE3"/>
    <w:rsid w:val="007D706B"/>
    <w:rsid w:val="007E0BD8"/>
    <w:rsid w:val="007E0DD9"/>
    <w:rsid w:val="007E22BE"/>
    <w:rsid w:val="007E2BB0"/>
    <w:rsid w:val="007E30F4"/>
    <w:rsid w:val="007E3C22"/>
    <w:rsid w:val="007E452F"/>
    <w:rsid w:val="007E5AC4"/>
    <w:rsid w:val="007F0456"/>
    <w:rsid w:val="007F0B5A"/>
    <w:rsid w:val="007F0CAA"/>
    <w:rsid w:val="007F162E"/>
    <w:rsid w:val="007F37FD"/>
    <w:rsid w:val="007F4112"/>
    <w:rsid w:val="007F41E0"/>
    <w:rsid w:val="007F6F09"/>
    <w:rsid w:val="007F7FE1"/>
    <w:rsid w:val="008001F7"/>
    <w:rsid w:val="00800329"/>
    <w:rsid w:val="008014A7"/>
    <w:rsid w:val="008021A1"/>
    <w:rsid w:val="008022B5"/>
    <w:rsid w:val="0080253A"/>
    <w:rsid w:val="00802CFF"/>
    <w:rsid w:val="008038E2"/>
    <w:rsid w:val="00803963"/>
    <w:rsid w:val="00803BC8"/>
    <w:rsid w:val="00804010"/>
    <w:rsid w:val="0080462B"/>
    <w:rsid w:val="00805717"/>
    <w:rsid w:val="008057F3"/>
    <w:rsid w:val="00805C2B"/>
    <w:rsid w:val="00806FD1"/>
    <w:rsid w:val="008108D3"/>
    <w:rsid w:val="00810903"/>
    <w:rsid w:val="00811134"/>
    <w:rsid w:val="008114FE"/>
    <w:rsid w:val="00811DB3"/>
    <w:rsid w:val="00812500"/>
    <w:rsid w:val="008131C8"/>
    <w:rsid w:val="00813683"/>
    <w:rsid w:val="00815972"/>
    <w:rsid w:val="008169F0"/>
    <w:rsid w:val="00816E6D"/>
    <w:rsid w:val="00816FEA"/>
    <w:rsid w:val="008170AB"/>
    <w:rsid w:val="00820855"/>
    <w:rsid w:val="00821526"/>
    <w:rsid w:val="00821E91"/>
    <w:rsid w:val="008225B7"/>
    <w:rsid w:val="0082278B"/>
    <w:rsid w:val="00822A19"/>
    <w:rsid w:val="0082307D"/>
    <w:rsid w:val="008233B2"/>
    <w:rsid w:val="008238C2"/>
    <w:rsid w:val="008240CF"/>
    <w:rsid w:val="00825021"/>
    <w:rsid w:val="00825318"/>
    <w:rsid w:val="008253FF"/>
    <w:rsid w:val="0082555A"/>
    <w:rsid w:val="008265BE"/>
    <w:rsid w:val="00826F07"/>
    <w:rsid w:val="00827397"/>
    <w:rsid w:val="00827875"/>
    <w:rsid w:val="0083090A"/>
    <w:rsid w:val="00830BAA"/>
    <w:rsid w:val="00831474"/>
    <w:rsid w:val="008316B6"/>
    <w:rsid w:val="008322B0"/>
    <w:rsid w:val="008322C7"/>
    <w:rsid w:val="008339D2"/>
    <w:rsid w:val="00833DF3"/>
    <w:rsid w:val="00834294"/>
    <w:rsid w:val="008374F6"/>
    <w:rsid w:val="0083752C"/>
    <w:rsid w:val="0083784F"/>
    <w:rsid w:val="008401E2"/>
    <w:rsid w:val="008405B0"/>
    <w:rsid w:val="00841533"/>
    <w:rsid w:val="00841C5A"/>
    <w:rsid w:val="008426BC"/>
    <w:rsid w:val="008428CA"/>
    <w:rsid w:val="0084383D"/>
    <w:rsid w:val="00843E73"/>
    <w:rsid w:val="008448E9"/>
    <w:rsid w:val="008454A7"/>
    <w:rsid w:val="00851305"/>
    <w:rsid w:val="008522B8"/>
    <w:rsid w:val="00852AC7"/>
    <w:rsid w:val="00852BFD"/>
    <w:rsid w:val="00853389"/>
    <w:rsid w:val="00853FA9"/>
    <w:rsid w:val="00855D60"/>
    <w:rsid w:val="00855F32"/>
    <w:rsid w:val="008565D7"/>
    <w:rsid w:val="008575F8"/>
    <w:rsid w:val="00857946"/>
    <w:rsid w:val="00857A15"/>
    <w:rsid w:val="00857B66"/>
    <w:rsid w:val="00860835"/>
    <w:rsid w:val="00861222"/>
    <w:rsid w:val="00861C1A"/>
    <w:rsid w:val="008627D6"/>
    <w:rsid w:val="00862AE0"/>
    <w:rsid w:val="008641A6"/>
    <w:rsid w:val="0086503B"/>
    <w:rsid w:val="00865CCB"/>
    <w:rsid w:val="00865FD8"/>
    <w:rsid w:val="00870681"/>
    <w:rsid w:val="0087086A"/>
    <w:rsid w:val="008714B3"/>
    <w:rsid w:val="0087154F"/>
    <w:rsid w:val="008722FB"/>
    <w:rsid w:val="0087242B"/>
    <w:rsid w:val="0087254F"/>
    <w:rsid w:val="0087326B"/>
    <w:rsid w:val="008735B9"/>
    <w:rsid w:val="00873770"/>
    <w:rsid w:val="008741E9"/>
    <w:rsid w:val="00875222"/>
    <w:rsid w:val="0087530F"/>
    <w:rsid w:val="008759A3"/>
    <w:rsid w:val="00876DFD"/>
    <w:rsid w:val="008805FD"/>
    <w:rsid w:val="008808E0"/>
    <w:rsid w:val="00881007"/>
    <w:rsid w:val="0088114D"/>
    <w:rsid w:val="008813F5"/>
    <w:rsid w:val="00881454"/>
    <w:rsid w:val="008816ED"/>
    <w:rsid w:val="00881E99"/>
    <w:rsid w:val="00881FFC"/>
    <w:rsid w:val="00882990"/>
    <w:rsid w:val="00882EF8"/>
    <w:rsid w:val="00885993"/>
    <w:rsid w:val="00887108"/>
    <w:rsid w:val="00887D17"/>
    <w:rsid w:val="00887E68"/>
    <w:rsid w:val="00887F86"/>
    <w:rsid w:val="00890D79"/>
    <w:rsid w:val="00891EC8"/>
    <w:rsid w:val="00891F93"/>
    <w:rsid w:val="008922CA"/>
    <w:rsid w:val="00892F82"/>
    <w:rsid w:val="0089395E"/>
    <w:rsid w:val="00894486"/>
    <w:rsid w:val="00894E35"/>
    <w:rsid w:val="00895062"/>
    <w:rsid w:val="008966D3"/>
    <w:rsid w:val="008968F1"/>
    <w:rsid w:val="00896A47"/>
    <w:rsid w:val="008970CC"/>
    <w:rsid w:val="0089710C"/>
    <w:rsid w:val="00897CA4"/>
    <w:rsid w:val="008A0085"/>
    <w:rsid w:val="008A0745"/>
    <w:rsid w:val="008A2032"/>
    <w:rsid w:val="008A2082"/>
    <w:rsid w:val="008A33B7"/>
    <w:rsid w:val="008A3EAE"/>
    <w:rsid w:val="008A4AF3"/>
    <w:rsid w:val="008A4BE7"/>
    <w:rsid w:val="008A55DA"/>
    <w:rsid w:val="008A5B9F"/>
    <w:rsid w:val="008A5FA0"/>
    <w:rsid w:val="008A6F6E"/>
    <w:rsid w:val="008A7284"/>
    <w:rsid w:val="008B004B"/>
    <w:rsid w:val="008B1F5E"/>
    <w:rsid w:val="008B20A6"/>
    <w:rsid w:val="008B272E"/>
    <w:rsid w:val="008B2A4E"/>
    <w:rsid w:val="008B3737"/>
    <w:rsid w:val="008B3FAA"/>
    <w:rsid w:val="008B461A"/>
    <w:rsid w:val="008B4791"/>
    <w:rsid w:val="008B49F2"/>
    <w:rsid w:val="008B4B9C"/>
    <w:rsid w:val="008B4F7D"/>
    <w:rsid w:val="008B5156"/>
    <w:rsid w:val="008B6C2A"/>
    <w:rsid w:val="008B6EFC"/>
    <w:rsid w:val="008B73D7"/>
    <w:rsid w:val="008B7B32"/>
    <w:rsid w:val="008C07E1"/>
    <w:rsid w:val="008C14BC"/>
    <w:rsid w:val="008C15EE"/>
    <w:rsid w:val="008C179C"/>
    <w:rsid w:val="008C2932"/>
    <w:rsid w:val="008C5C56"/>
    <w:rsid w:val="008C630D"/>
    <w:rsid w:val="008C6387"/>
    <w:rsid w:val="008C63F6"/>
    <w:rsid w:val="008D0191"/>
    <w:rsid w:val="008D0336"/>
    <w:rsid w:val="008D0E69"/>
    <w:rsid w:val="008D474A"/>
    <w:rsid w:val="008D4FF4"/>
    <w:rsid w:val="008D5713"/>
    <w:rsid w:val="008D5EAF"/>
    <w:rsid w:val="008D66AB"/>
    <w:rsid w:val="008D6FB8"/>
    <w:rsid w:val="008E19CF"/>
    <w:rsid w:val="008E1F04"/>
    <w:rsid w:val="008E2CE3"/>
    <w:rsid w:val="008E2F26"/>
    <w:rsid w:val="008E5124"/>
    <w:rsid w:val="008E5EB1"/>
    <w:rsid w:val="008E6EB4"/>
    <w:rsid w:val="008F005A"/>
    <w:rsid w:val="008F122F"/>
    <w:rsid w:val="008F1D5E"/>
    <w:rsid w:val="008F269F"/>
    <w:rsid w:val="008F295A"/>
    <w:rsid w:val="008F3DF2"/>
    <w:rsid w:val="008F547D"/>
    <w:rsid w:val="008F5505"/>
    <w:rsid w:val="008F5AC2"/>
    <w:rsid w:val="008F6485"/>
    <w:rsid w:val="008F671D"/>
    <w:rsid w:val="008F761E"/>
    <w:rsid w:val="008F797F"/>
    <w:rsid w:val="008F7F92"/>
    <w:rsid w:val="009004F5"/>
    <w:rsid w:val="0090051C"/>
    <w:rsid w:val="00900B37"/>
    <w:rsid w:val="00901C97"/>
    <w:rsid w:val="009020E9"/>
    <w:rsid w:val="009024B1"/>
    <w:rsid w:val="0090329A"/>
    <w:rsid w:val="0090338F"/>
    <w:rsid w:val="00903462"/>
    <w:rsid w:val="00903BA0"/>
    <w:rsid w:val="00904013"/>
    <w:rsid w:val="0090658E"/>
    <w:rsid w:val="0090690E"/>
    <w:rsid w:val="009071BF"/>
    <w:rsid w:val="0091042F"/>
    <w:rsid w:val="00910DF8"/>
    <w:rsid w:val="00911C9F"/>
    <w:rsid w:val="00912ADD"/>
    <w:rsid w:val="00912CCB"/>
    <w:rsid w:val="00913837"/>
    <w:rsid w:val="009142D0"/>
    <w:rsid w:val="0091599F"/>
    <w:rsid w:val="0091622F"/>
    <w:rsid w:val="009171AD"/>
    <w:rsid w:val="00917386"/>
    <w:rsid w:val="00917485"/>
    <w:rsid w:val="0092002E"/>
    <w:rsid w:val="00920892"/>
    <w:rsid w:val="009208D9"/>
    <w:rsid w:val="009218A4"/>
    <w:rsid w:val="00921EA0"/>
    <w:rsid w:val="00921FB5"/>
    <w:rsid w:val="00922BEF"/>
    <w:rsid w:val="00923085"/>
    <w:rsid w:val="0092369F"/>
    <w:rsid w:val="0092400C"/>
    <w:rsid w:val="0092425A"/>
    <w:rsid w:val="009245C3"/>
    <w:rsid w:val="009255EE"/>
    <w:rsid w:val="00926718"/>
    <w:rsid w:val="00926D5D"/>
    <w:rsid w:val="00927C56"/>
    <w:rsid w:val="00930147"/>
    <w:rsid w:val="0093026F"/>
    <w:rsid w:val="00930279"/>
    <w:rsid w:val="00930DD7"/>
    <w:rsid w:val="00930F0A"/>
    <w:rsid w:val="00931E54"/>
    <w:rsid w:val="00933C55"/>
    <w:rsid w:val="00934BED"/>
    <w:rsid w:val="00935242"/>
    <w:rsid w:val="00936B2E"/>
    <w:rsid w:val="00936F50"/>
    <w:rsid w:val="00937011"/>
    <w:rsid w:val="00937D3E"/>
    <w:rsid w:val="009428BC"/>
    <w:rsid w:val="00944081"/>
    <w:rsid w:val="0094444A"/>
    <w:rsid w:val="0094482E"/>
    <w:rsid w:val="00944A90"/>
    <w:rsid w:val="00945228"/>
    <w:rsid w:val="009463DB"/>
    <w:rsid w:val="0094649C"/>
    <w:rsid w:val="009471B9"/>
    <w:rsid w:val="0094779E"/>
    <w:rsid w:val="009477E7"/>
    <w:rsid w:val="00950A55"/>
    <w:rsid w:val="00950B3D"/>
    <w:rsid w:val="00950C7C"/>
    <w:rsid w:val="009519A4"/>
    <w:rsid w:val="00951BA7"/>
    <w:rsid w:val="00953331"/>
    <w:rsid w:val="00953E20"/>
    <w:rsid w:val="00953EED"/>
    <w:rsid w:val="00954379"/>
    <w:rsid w:val="00954FDB"/>
    <w:rsid w:val="00956905"/>
    <w:rsid w:val="00957095"/>
    <w:rsid w:val="009615A6"/>
    <w:rsid w:val="009620E7"/>
    <w:rsid w:val="0096224B"/>
    <w:rsid w:val="0096274F"/>
    <w:rsid w:val="00963B6B"/>
    <w:rsid w:val="009642A3"/>
    <w:rsid w:val="00964EA9"/>
    <w:rsid w:val="00966186"/>
    <w:rsid w:val="009666BE"/>
    <w:rsid w:val="00967153"/>
    <w:rsid w:val="0096749B"/>
    <w:rsid w:val="00967C93"/>
    <w:rsid w:val="00971608"/>
    <w:rsid w:val="009727DB"/>
    <w:rsid w:val="00973875"/>
    <w:rsid w:val="00976732"/>
    <w:rsid w:val="0098106B"/>
    <w:rsid w:val="00981164"/>
    <w:rsid w:val="009815DB"/>
    <w:rsid w:val="00981D4F"/>
    <w:rsid w:val="00982548"/>
    <w:rsid w:val="00982E6C"/>
    <w:rsid w:val="0098315C"/>
    <w:rsid w:val="0098440A"/>
    <w:rsid w:val="009848CB"/>
    <w:rsid w:val="00984954"/>
    <w:rsid w:val="00984ECE"/>
    <w:rsid w:val="009864BD"/>
    <w:rsid w:val="009871FD"/>
    <w:rsid w:val="009874D9"/>
    <w:rsid w:val="009903AC"/>
    <w:rsid w:val="009903E1"/>
    <w:rsid w:val="00991BED"/>
    <w:rsid w:val="00991D72"/>
    <w:rsid w:val="00993C4C"/>
    <w:rsid w:val="00993EE7"/>
    <w:rsid w:val="009943C9"/>
    <w:rsid w:val="009947D6"/>
    <w:rsid w:val="0099522A"/>
    <w:rsid w:val="009957E8"/>
    <w:rsid w:val="00995863"/>
    <w:rsid w:val="009958A5"/>
    <w:rsid w:val="00996248"/>
    <w:rsid w:val="009962A2"/>
    <w:rsid w:val="0099637C"/>
    <w:rsid w:val="00996BB5"/>
    <w:rsid w:val="00996C3D"/>
    <w:rsid w:val="00996D3A"/>
    <w:rsid w:val="00997375"/>
    <w:rsid w:val="009978EE"/>
    <w:rsid w:val="00997CF5"/>
    <w:rsid w:val="00997F93"/>
    <w:rsid w:val="009A07FC"/>
    <w:rsid w:val="009A1FCE"/>
    <w:rsid w:val="009A21EC"/>
    <w:rsid w:val="009A2696"/>
    <w:rsid w:val="009A37AD"/>
    <w:rsid w:val="009A4AF7"/>
    <w:rsid w:val="009A5059"/>
    <w:rsid w:val="009A592F"/>
    <w:rsid w:val="009A6973"/>
    <w:rsid w:val="009A74D5"/>
    <w:rsid w:val="009B0625"/>
    <w:rsid w:val="009B133D"/>
    <w:rsid w:val="009B1935"/>
    <w:rsid w:val="009B302F"/>
    <w:rsid w:val="009B34C0"/>
    <w:rsid w:val="009B3B30"/>
    <w:rsid w:val="009B4030"/>
    <w:rsid w:val="009B5712"/>
    <w:rsid w:val="009B5CF9"/>
    <w:rsid w:val="009B7292"/>
    <w:rsid w:val="009B7477"/>
    <w:rsid w:val="009B7E47"/>
    <w:rsid w:val="009C045B"/>
    <w:rsid w:val="009C072F"/>
    <w:rsid w:val="009C2827"/>
    <w:rsid w:val="009C2F0C"/>
    <w:rsid w:val="009C3C4A"/>
    <w:rsid w:val="009C3EC7"/>
    <w:rsid w:val="009C42AF"/>
    <w:rsid w:val="009C4684"/>
    <w:rsid w:val="009C4DD4"/>
    <w:rsid w:val="009C564D"/>
    <w:rsid w:val="009C5A46"/>
    <w:rsid w:val="009C5A9A"/>
    <w:rsid w:val="009C5D69"/>
    <w:rsid w:val="009C61F6"/>
    <w:rsid w:val="009C6783"/>
    <w:rsid w:val="009C6E3A"/>
    <w:rsid w:val="009D0111"/>
    <w:rsid w:val="009D0933"/>
    <w:rsid w:val="009D0A34"/>
    <w:rsid w:val="009D1333"/>
    <w:rsid w:val="009D166B"/>
    <w:rsid w:val="009D1750"/>
    <w:rsid w:val="009D2069"/>
    <w:rsid w:val="009D2082"/>
    <w:rsid w:val="009D24C3"/>
    <w:rsid w:val="009D261A"/>
    <w:rsid w:val="009D2A4C"/>
    <w:rsid w:val="009D32FA"/>
    <w:rsid w:val="009D4CC4"/>
    <w:rsid w:val="009D4F9C"/>
    <w:rsid w:val="009D552A"/>
    <w:rsid w:val="009D5574"/>
    <w:rsid w:val="009D5DAC"/>
    <w:rsid w:val="009D6ED6"/>
    <w:rsid w:val="009D7EB5"/>
    <w:rsid w:val="009E03FC"/>
    <w:rsid w:val="009E088D"/>
    <w:rsid w:val="009E0E73"/>
    <w:rsid w:val="009E132E"/>
    <w:rsid w:val="009E1958"/>
    <w:rsid w:val="009E1E76"/>
    <w:rsid w:val="009E2597"/>
    <w:rsid w:val="009E27C5"/>
    <w:rsid w:val="009E3375"/>
    <w:rsid w:val="009E36F6"/>
    <w:rsid w:val="009E37D5"/>
    <w:rsid w:val="009E4C96"/>
    <w:rsid w:val="009E53B1"/>
    <w:rsid w:val="009E53F7"/>
    <w:rsid w:val="009E5FDC"/>
    <w:rsid w:val="009E6933"/>
    <w:rsid w:val="009E6CEC"/>
    <w:rsid w:val="009E7B10"/>
    <w:rsid w:val="009E7DBA"/>
    <w:rsid w:val="009F0D11"/>
    <w:rsid w:val="009F0F3A"/>
    <w:rsid w:val="009F13FB"/>
    <w:rsid w:val="009F159C"/>
    <w:rsid w:val="009F2C16"/>
    <w:rsid w:val="009F2CED"/>
    <w:rsid w:val="009F311D"/>
    <w:rsid w:val="009F4704"/>
    <w:rsid w:val="009F5351"/>
    <w:rsid w:val="009F577D"/>
    <w:rsid w:val="009F64E8"/>
    <w:rsid w:val="009F7DC4"/>
    <w:rsid w:val="00A01108"/>
    <w:rsid w:val="00A011EA"/>
    <w:rsid w:val="00A01287"/>
    <w:rsid w:val="00A013BB"/>
    <w:rsid w:val="00A017FC"/>
    <w:rsid w:val="00A018A0"/>
    <w:rsid w:val="00A02DC4"/>
    <w:rsid w:val="00A03338"/>
    <w:rsid w:val="00A035EF"/>
    <w:rsid w:val="00A041C8"/>
    <w:rsid w:val="00A04342"/>
    <w:rsid w:val="00A0547F"/>
    <w:rsid w:val="00A0596F"/>
    <w:rsid w:val="00A05A54"/>
    <w:rsid w:val="00A066AD"/>
    <w:rsid w:val="00A10DB5"/>
    <w:rsid w:val="00A11136"/>
    <w:rsid w:val="00A1115A"/>
    <w:rsid w:val="00A1163E"/>
    <w:rsid w:val="00A116EA"/>
    <w:rsid w:val="00A1184C"/>
    <w:rsid w:val="00A1224A"/>
    <w:rsid w:val="00A122FF"/>
    <w:rsid w:val="00A125BA"/>
    <w:rsid w:val="00A13F37"/>
    <w:rsid w:val="00A14867"/>
    <w:rsid w:val="00A15305"/>
    <w:rsid w:val="00A15AA9"/>
    <w:rsid w:val="00A1619A"/>
    <w:rsid w:val="00A16A2A"/>
    <w:rsid w:val="00A16A62"/>
    <w:rsid w:val="00A16CD0"/>
    <w:rsid w:val="00A20586"/>
    <w:rsid w:val="00A20977"/>
    <w:rsid w:val="00A2128C"/>
    <w:rsid w:val="00A22A7A"/>
    <w:rsid w:val="00A22AB4"/>
    <w:rsid w:val="00A2544F"/>
    <w:rsid w:val="00A25FD0"/>
    <w:rsid w:val="00A26681"/>
    <w:rsid w:val="00A267C4"/>
    <w:rsid w:val="00A27DEA"/>
    <w:rsid w:val="00A3037F"/>
    <w:rsid w:val="00A30C4B"/>
    <w:rsid w:val="00A3113E"/>
    <w:rsid w:val="00A3205D"/>
    <w:rsid w:val="00A320CA"/>
    <w:rsid w:val="00A323D5"/>
    <w:rsid w:val="00A33F1F"/>
    <w:rsid w:val="00A34283"/>
    <w:rsid w:val="00A344E8"/>
    <w:rsid w:val="00A3501D"/>
    <w:rsid w:val="00A35DB4"/>
    <w:rsid w:val="00A35DBE"/>
    <w:rsid w:val="00A3629A"/>
    <w:rsid w:val="00A36517"/>
    <w:rsid w:val="00A36756"/>
    <w:rsid w:val="00A36774"/>
    <w:rsid w:val="00A375CF"/>
    <w:rsid w:val="00A376D5"/>
    <w:rsid w:val="00A400E9"/>
    <w:rsid w:val="00A401F7"/>
    <w:rsid w:val="00A40AB8"/>
    <w:rsid w:val="00A40C28"/>
    <w:rsid w:val="00A40FBF"/>
    <w:rsid w:val="00A40FCA"/>
    <w:rsid w:val="00A41DD5"/>
    <w:rsid w:val="00A4311B"/>
    <w:rsid w:val="00A431AF"/>
    <w:rsid w:val="00A43F78"/>
    <w:rsid w:val="00A44240"/>
    <w:rsid w:val="00A4484E"/>
    <w:rsid w:val="00A44CC5"/>
    <w:rsid w:val="00A45B73"/>
    <w:rsid w:val="00A45CD8"/>
    <w:rsid w:val="00A5033A"/>
    <w:rsid w:val="00A50591"/>
    <w:rsid w:val="00A50635"/>
    <w:rsid w:val="00A53C9D"/>
    <w:rsid w:val="00A54C2E"/>
    <w:rsid w:val="00A55FC2"/>
    <w:rsid w:val="00A57096"/>
    <w:rsid w:val="00A601C4"/>
    <w:rsid w:val="00A60445"/>
    <w:rsid w:val="00A614EF"/>
    <w:rsid w:val="00A6251F"/>
    <w:rsid w:val="00A626E0"/>
    <w:rsid w:val="00A629F0"/>
    <w:rsid w:val="00A63A8B"/>
    <w:rsid w:val="00A64B7B"/>
    <w:rsid w:val="00A65044"/>
    <w:rsid w:val="00A653A9"/>
    <w:rsid w:val="00A66025"/>
    <w:rsid w:val="00A66177"/>
    <w:rsid w:val="00A661BF"/>
    <w:rsid w:val="00A70821"/>
    <w:rsid w:val="00A710E1"/>
    <w:rsid w:val="00A71272"/>
    <w:rsid w:val="00A716D6"/>
    <w:rsid w:val="00A7198B"/>
    <w:rsid w:val="00A721AF"/>
    <w:rsid w:val="00A73F9F"/>
    <w:rsid w:val="00A74277"/>
    <w:rsid w:val="00A74596"/>
    <w:rsid w:val="00A74A3C"/>
    <w:rsid w:val="00A7580C"/>
    <w:rsid w:val="00A75A31"/>
    <w:rsid w:val="00A76CA9"/>
    <w:rsid w:val="00A76ECB"/>
    <w:rsid w:val="00A771AB"/>
    <w:rsid w:val="00A77BEC"/>
    <w:rsid w:val="00A77BF2"/>
    <w:rsid w:val="00A8033E"/>
    <w:rsid w:val="00A806D0"/>
    <w:rsid w:val="00A8151C"/>
    <w:rsid w:val="00A8246D"/>
    <w:rsid w:val="00A824DD"/>
    <w:rsid w:val="00A83803"/>
    <w:rsid w:val="00A8389D"/>
    <w:rsid w:val="00A83CB7"/>
    <w:rsid w:val="00A83D11"/>
    <w:rsid w:val="00A8430D"/>
    <w:rsid w:val="00A84A37"/>
    <w:rsid w:val="00A85125"/>
    <w:rsid w:val="00A8684C"/>
    <w:rsid w:val="00A86CD1"/>
    <w:rsid w:val="00A8712D"/>
    <w:rsid w:val="00A87737"/>
    <w:rsid w:val="00A87AD9"/>
    <w:rsid w:val="00A902F6"/>
    <w:rsid w:val="00A9115E"/>
    <w:rsid w:val="00A9177C"/>
    <w:rsid w:val="00A9181E"/>
    <w:rsid w:val="00A9186B"/>
    <w:rsid w:val="00A923A6"/>
    <w:rsid w:val="00A93186"/>
    <w:rsid w:val="00A93315"/>
    <w:rsid w:val="00A96682"/>
    <w:rsid w:val="00A9706D"/>
    <w:rsid w:val="00A97372"/>
    <w:rsid w:val="00A97922"/>
    <w:rsid w:val="00A97A1E"/>
    <w:rsid w:val="00A97BEE"/>
    <w:rsid w:val="00AA0591"/>
    <w:rsid w:val="00AA18C2"/>
    <w:rsid w:val="00AA3035"/>
    <w:rsid w:val="00AA31FB"/>
    <w:rsid w:val="00AA427A"/>
    <w:rsid w:val="00AA4694"/>
    <w:rsid w:val="00AA4FE1"/>
    <w:rsid w:val="00AA5221"/>
    <w:rsid w:val="00AA5532"/>
    <w:rsid w:val="00AA579B"/>
    <w:rsid w:val="00AA6AA5"/>
    <w:rsid w:val="00AA6CEC"/>
    <w:rsid w:val="00AA70C5"/>
    <w:rsid w:val="00AA776A"/>
    <w:rsid w:val="00AA7DEA"/>
    <w:rsid w:val="00AB057C"/>
    <w:rsid w:val="00AB1634"/>
    <w:rsid w:val="00AB204C"/>
    <w:rsid w:val="00AB2356"/>
    <w:rsid w:val="00AB3294"/>
    <w:rsid w:val="00AB331A"/>
    <w:rsid w:val="00AB36A4"/>
    <w:rsid w:val="00AB3C2B"/>
    <w:rsid w:val="00AB3F5F"/>
    <w:rsid w:val="00AB437D"/>
    <w:rsid w:val="00AB5228"/>
    <w:rsid w:val="00AB52E7"/>
    <w:rsid w:val="00AB5C26"/>
    <w:rsid w:val="00AB5D4A"/>
    <w:rsid w:val="00AB636C"/>
    <w:rsid w:val="00AB7AB4"/>
    <w:rsid w:val="00AB7C18"/>
    <w:rsid w:val="00AB7C7D"/>
    <w:rsid w:val="00AC00D4"/>
    <w:rsid w:val="00AC0531"/>
    <w:rsid w:val="00AC20CC"/>
    <w:rsid w:val="00AC232C"/>
    <w:rsid w:val="00AC2A6B"/>
    <w:rsid w:val="00AC35BD"/>
    <w:rsid w:val="00AC3779"/>
    <w:rsid w:val="00AC3F1C"/>
    <w:rsid w:val="00AC424B"/>
    <w:rsid w:val="00AC4645"/>
    <w:rsid w:val="00AC4F58"/>
    <w:rsid w:val="00AC51D6"/>
    <w:rsid w:val="00AC5896"/>
    <w:rsid w:val="00AC6262"/>
    <w:rsid w:val="00AC6FAF"/>
    <w:rsid w:val="00AD0557"/>
    <w:rsid w:val="00AD19C3"/>
    <w:rsid w:val="00AD1FC7"/>
    <w:rsid w:val="00AD1FFD"/>
    <w:rsid w:val="00AD2420"/>
    <w:rsid w:val="00AD26CB"/>
    <w:rsid w:val="00AD29A4"/>
    <w:rsid w:val="00AD2A65"/>
    <w:rsid w:val="00AD36F3"/>
    <w:rsid w:val="00AD4127"/>
    <w:rsid w:val="00AD5164"/>
    <w:rsid w:val="00AD5B16"/>
    <w:rsid w:val="00AD7275"/>
    <w:rsid w:val="00AD7399"/>
    <w:rsid w:val="00AD7581"/>
    <w:rsid w:val="00AE0896"/>
    <w:rsid w:val="00AE11B3"/>
    <w:rsid w:val="00AE1CD4"/>
    <w:rsid w:val="00AE233A"/>
    <w:rsid w:val="00AE24E7"/>
    <w:rsid w:val="00AE344D"/>
    <w:rsid w:val="00AE4417"/>
    <w:rsid w:val="00AE5060"/>
    <w:rsid w:val="00AE51A6"/>
    <w:rsid w:val="00AE5ECB"/>
    <w:rsid w:val="00AE71F9"/>
    <w:rsid w:val="00AE74B6"/>
    <w:rsid w:val="00AF0201"/>
    <w:rsid w:val="00AF0D19"/>
    <w:rsid w:val="00AF11DB"/>
    <w:rsid w:val="00AF1741"/>
    <w:rsid w:val="00AF1BCF"/>
    <w:rsid w:val="00AF200B"/>
    <w:rsid w:val="00AF23AA"/>
    <w:rsid w:val="00AF2C27"/>
    <w:rsid w:val="00AF3015"/>
    <w:rsid w:val="00AF34A0"/>
    <w:rsid w:val="00AF36BC"/>
    <w:rsid w:val="00AF377E"/>
    <w:rsid w:val="00AF37B9"/>
    <w:rsid w:val="00AF3A06"/>
    <w:rsid w:val="00AF4442"/>
    <w:rsid w:val="00AF4F77"/>
    <w:rsid w:val="00AF572D"/>
    <w:rsid w:val="00AF7654"/>
    <w:rsid w:val="00AF7780"/>
    <w:rsid w:val="00AF790D"/>
    <w:rsid w:val="00AF7CED"/>
    <w:rsid w:val="00B00307"/>
    <w:rsid w:val="00B00394"/>
    <w:rsid w:val="00B00F5F"/>
    <w:rsid w:val="00B021E4"/>
    <w:rsid w:val="00B02F1A"/>
    <w:rsid w:val="00B04228"/>
    <w:rsid w:val="00B04A15"/>
    <w:rsid w:val="00B04E0B"/>
    <w:rsid w:val="00B05441"/>
    <w:rsid w:val="00B05988"/>
    <w:rsid w:val="00B062F6"/>
    <w:rsid w:val="00B0690F"/>
    <w:rsid w:val="00B06DFB"/>
    <w:rsid w:val="00B072B3"/>
    <w:rsid w:val="00B104A3"/>
    <w:rsid w:val="00B1061C"/>
    <w:rsid w:val="00B127DA"/>
    <w:rsid w:val="00B13547"/>
    <w:rsid w:val="00B139DF"/>
    <w:rsid w:val="00B148BC"/>
    <w:rsid w:val="00B166D6"/>
    <w:rsid w:val="00B1716F"/>
    <w:rsid w:val="00B174C7"/>
    <w:rsid w:val="00B17C18"/>
    <w:rsid w:val="00B17F00"/>
    <w:rsid w:val="00B20417"/>
    <w:rsid w:val="00B20489"/>
    <w:rsid w:val="00B20E55"/>
    <w:rsid w:val="00B21428"/>
    <w:rsid w:val="00B21739"/>
    <w:rsid w:val="00B22C75"/>
    <w:rsid w:val="00B236FF"/>
    <w:rsid w:val="00B239C0"/>
    <w:rsid w:val="00B24136"/>
    <w:rsid w:val="00B26132"/>
    <w:rsid w:val="00B26783"/>
    <w:rsid w:val="00B26A44"/>
    <w:rsid w:val="00B27033"/>
    <w:rsid w:val="00B30FA2"/>
    <w:rsid w:val="00B3159C"/>
    <w:rsid w:val="00B31B8B"/>
    <w:rsid w:val="00B32111"/>
    <w:rsid w:val="00B325EB"/>
    <w:rsid w:val="00B3281D"/>
    <w:rsid w:val="00B32886"/>
    <w:rsid w:val="00B32912"/>
    <w:rsid w:val="00B3293C"/>
    <w:rsid w:val="00B32B59"/>
    <w:rsid w:val="00B33D2F"/>
    <w:rsid w:val="00B34318"/>
    <w:rsid w:val="00B34783"/>
    <w:rsid w:val="00B36AA1"/>
    <w:rsid w:val="00B379F8"/>
    <w:rsid w:val="00B37E48"/>
    <w:rsid w:val="00B4059C"/>
    <w:rsid w:val="00B40E45"/>
    <w:rsid w:val="00B41A3B"/>
    <w:rsid w:val="00B41C80"/>
    <w:rsid w:val="00B4239F"/>
    <w:rsid w:val="00B4252A"/>
    <w:rsid w:val="00B4254C"/>
    <w:rsid w:val="00B42F71"/>
    <w:rsid w:val="00B43C4D"/>
    <w:rsid w:val="00B43F7A"/>
    <w:rsid w:val="00B44BB0"/>
    <w:rsid w:val="00B45C58"/>
    <w:rsid w:val="00B46B1C"/>
    <w:rsid w:val="00B46D92"/>
    <w:rsid w:val="00B46ED4"/>
    <w:rsid w:val="00B47DA7"/>
    <w:rsid w:val="00B50497"/>
    <w:rsid w:val="00B511FF"/>
    <w:rsid w:val="00B531D7"/>
    <w:rsid w:val="00B53544"/>
    <w:rsid w:val="00B54D4D"/>
    <w:rsid w:val="00B5565E"/>
    <w:rsid w:val="00B55D02"/>
    <w:rsid w:val="00B56228"/>
    <w:rsid w:val="00B56B68"/>
    <w:rsid w:val="00B56BAB"/>
    <w:rsid w:val="00B56C5F"/>
    <w:rsid w:val="00B56E63"/>
    <w:rsid w:val="00B575F0"/>
    <w:rsid w:val="00B57A64"/>
    <w:rsid w:val="00B60CAA"/>
    <w:rsid w:val="00B60F60"/>
    <w:rsid w:val="00B61747"/>
    <w:rsid w:val="00B61CC3"/>
    <w:rsid w:val="00B620DB"/>
    <w:rsid w:val="00B63D8D"/>
    <w:rsid w:val="00B63EBF"/>
    <w:rsid w:val="00B654F5"/>
    <w:rsid w:val="00B65719"/>
    <w:rsid w:val="00B665FD"/>
    <w:rsid w:val="00B67210"/>
    <w:rsid w:val="00B67FB5"/>
    <w:rsid w:val="00B700BA"/>
    <w:rsid w:val="00B70328"/>
    <w:rsid w:val="00B72699"/>
    <w:rsid w:val="00B7288D"/>
    <w:rsid w:val="00B72A76"/>
    <w:rsid w:val="00B732FD"/>
    <w:rsid w:val="00B73317"/>
    <w:rsid w:val="00B73AB5"/>
    <w:rsid w:val="00B745AF"/>
    <w:rsid w:val="00B74B30"/>
    <w:rsid w:val="00B74DB6"/>
    <w:rsid w:val="00B74E81"/>
    <w:rsid w:val="00B75E37"/>
    <w:rsid w:val="00B763B0"/>
    <w:rsid w:val="00B80212"/>
    <w:rsid w:val="00B808FB"/>
    <w:rsid w:val="00B80FEB"/>
    <w:rsid w:val="00B8257C"/>
    <w:rsid w:val="00B826CE"/>
    <w:rsid w:val="00B8409F"/>
    <w:rsid w:val="00B84E5F"/>
    <w:rsid w:val="00B9151A"/>
    <w:rsid w:val="00B9331B"/>
    <w:rsid w:val="00B93972"/>
    <w:rsid w:val="00B94145"/>
    <w:rsid w:val="00B9423B"/>
    <w:rsid w:val="00B94C38"/>
    <w:rsid w:val="00B9551D"/>
    <w:rsid w:val="00B95F92"/>
    <w:rsid w:val="00B97605"/>
    <w:rsid w:val="00B977F3"/>
    <w:rsid w:val="00B97C7D"/>
    <w:rsid w:val="00BA02EA"/>
    <w:rsid w:val="00BA1307"/>
    <w:rsid w:val="00BA19F0"/>
    <w:rsid w:val="00BA247E"/>
    <w:rsid w:val="00BA36FB"/>
    <w:rsid w:val="00BA3DB7"/>
    <w:rsid w:val="00BA4198"/>
    <w:rsid w:val="00BA49CA"/>
    <w:rsid w:val="00BA4AFD"/>
    <w:rsid w:val="00BA59CB"/>
    <w:rsid w:val="00BA5B55"/>
    <w:rsid w:val="00BA69AF"/>
    <w:rsid w:val="00BA6D01"/>
    <w:rsid w:val="00BB0707"/>
    <w:rsid w:val="00BB0C2F"/>
    <w:rsid w:val="00BB1A35"/>
    <w:rsid w:val="00BB1AD7"/>
    <w:rsid w:val="00BB23F1"/>
    <w:rsid w:val="00BB274B"/>
    <w:rsid w:val="00BB4051"/>
    <w:rsid w:val="00BB4BD4"/>
    <w:rsid w:val="00BB5902"/>
    <w:rsid w:val="00BB5A82"/>
    <w:rsid w:val="00BB5F72"/>
    <w:rsid w:val="00BB6468"/>
    <w:rsid w:val="00BB699A"/>
    <w:rsid w:val="00BB6D8A"/>
    <w:rsid w:val="00BB6E05"/>
    <w:rsid w:val="00BB7251"/>
    <w:rsid w:val="00BB7281"/>
    <w:rsid w:val="00BB77DD"/>
    <w:rsid w:val="00BB7EDC"/>
    <w:rsid w:val="00BC1574"/>
    <w:rsid w:val="00BC1E79"/>
    <w:rsid w:val="00BC2DC9"/>
    <w:rsid w:val="00BC3FD5"/>
    <w:rsid w:val="00BC40A5"/>
    <w:rsid w:val="00BC41D9"/>
    <w:rsid w:val="00BC44F8"/>
    <w:rsid w:val="00BC4A0A"/>
    <w:rsid w:val="00BC5685"/>
    <w:rsid w:val="00BC56AB"/>
    <w:rsid w:val="00BC5ADE"/>
    <w:rsid w:val="00BC61AD"/>
    <w:rsid w:val="00BD0361"/>
    <w:rsid w:val="00BD0B10"/>
    <w:rsid w:val="00BD19E9"/>
    <w:rsid w:val="00BD1A1E"/>
    <w:rsid w:val="00BD1A7D"/>
    <w:rsid w:val="00BD245C"/>
    <w:rsid w:val="00BD29B1"/>
    <w:rsid w:val="00BD2A50"/>
    <w:rsid w:val="00BD314A"/>
    <w:rsid w:val="00BD4228"/>
    <w:rsid w:val="00BD463B"/>
    <w:rsid w:val="00BD490B"/>
    <w:rsid w:val="00BD507A"/>
    <w:rsid w:val="00BD59D3"/>
    <w:rsid w:val="00BD5A55"/>
    <w:rsid w:val="00BD6B30"/>
    <w:rsid w:val="00BD7926"/>
    <w:rsid w:val="00BD7A5B"/>
    <w:rsid w:val="00BD7C4C"/>
    <w:rsid w:val="00BE08CA"/>
    <w:rsid w:val="00BE0F2B"/>
    <w:rsid w:val="00BE1EB8"/>
    <w:rsid w:val="00BE3053"/>
    <w:rsid w:val="00BE30FE"/>
    <w:rsid w:val="00BE327A"/>
    <w:rsid w:val="00BE360B"/>
    <w:rsid w:val="00BE49AA"/>
    <w:rsid w:val="00BE5374"/>
    <w:rsid w:val="00BF01BD"/>
    <w:rsid w:val="00BF0652"/>
    <w:rsid w:val="00BF0C4A"/>
    <w:rsid w:val="00BF1185"/>
    <w:rsid w:val="00BF17BC"/>
    <w:rsid w:val="00BF4748"/>
    <w:rsid w:val="00BF6968"/>
    <w:rsid w:val="00BF6B5C"/>
    <w:rsid w:val="00BF6DFE"/>
    <w:rsid w:val="00BF7E8F"/>
    <w:rsid w:val="00C00035"/>
    <w:rsid w:val="00C00602"/>
    <w:rsid w:val="00C00D0A"/>
    <w:rsid w:val="00C0117E"/>
    <w:rsid w:val="00C02D6D"/>
    <w:rsid w:val="00C03357"/>
    <w:rsid w:val="00C0424E"/>
    <w:rsid w:val="00C04E16"/>
    <w:rsid w:val="00C055E9"/>
    <w:rsid w:val="00C05C77"/>
    <w:rsid w:val="00C05E75"/>
    <w:rsid w:val="00C065B0"/>
    <w:rsid w:val="00C11029"/>
    <w:rsid w:val="00C1349E"/>
    <w:rsid w:val="00C140D6"/>
    <w:rsid w:val="00C14B9C"/>
    <w:rsid w:val="00C14FEE"/>
    <w:rsid w:val="00C1614E"/>
    <w:rsid w:val="00C1648C"/>
    <w:rsid w:val="00C16E48"/>
    <w:rsid w:val="00C21FC8"/>
    <w:rsid w:val="00C229FA"/>
    <w:rsid w:val="00C22B9B"/>
    <w:rsid w:val="00C22BFD"/>
    <w:rsid w:val="00C22D6D"/>
    <w:rsid w:val="00C236EB"/>
    <w:rsid w:val="00C23D54"/>
    <w:rsid w:val="00C23F85"/>
    <w:rsid w:val="00C247BC"/>
    <w:rsid w:val="00C24993"/>
    <w:rsid w:val="00C24ABB"/>
    <w:rsid w:val="00C24E6A"/>
    <w:rsid w:val="00C24FEE"/>
    <w:rsid w:val="00C25BFE"/>
    <w:rsid w:val="00C25C96"/>
    <w:rsid w:val="00C26CC6"/>
    <w:rsid w:val="00C27264"/>
    <w:rsid w:val="00C3039E"/>
    <w:rsid w:val="00C30794"/>
    <w:rsid w:val="00C30AA9"/>
    <w:rsid w:val="00C30BB9"/>
    <w:rsid w:val="00C31D89"/>
    <w:rsid w:val="00C32058"/>
    <w:rsid w:val="00C320DD"/>
    <w:rsid w:val="00C32397"/>
    <w:rsid w:val="00C33732"/>
    <w:rsid w:val="00C33E2E"/>
    <w:rsid w:val="00C33FED"/>
    <w:rsid w:val="00C3415D"/>
    <w:rsid w:val="00C341B9"/>
    <w:rsid w:val="00C35349"/>
    <w:rsid w:val="00C355A7"/>
    <w:rsid w:val="00C3593D"/>
    <w:rsid w:val="00C35D88"/>
    <w:rsid w:val="00C35EED"/>
    <w:rsid w:val="00C3698A"/>
    <w:rsid w:val="00C377EC"/>
    <w:rsid w:val="00C4029C"/>
    <w:rsid w:val="00C4087C"/>
    <w:rsid w:val="00C40EF6"/>
    <w:rsid w:val="00C40F80"/>
    <w:rsid w:val="00C41255"/>
    <w:rsid w:val="00C41CD1"/>
    <w:rsid w:val="00C42E1F"/>
    <w:rsid w:val="00C442A9"/>
    <w:rsid w:val="00C4450E"/>
    <w:rsid w:val="00C44A12"/>
    <w:rsid w:val="00C4509F"/>
    <w:rsid w:val="00C45222"/>
    <w:rsid w:val="00C455B6"/>
    <w:rsid w:val="00C45F85"/>
    <w:rsid w:val="00C46907"/>
    <w:rsid w:val="00C474E9"/>
    <w:rsid w:val="00C50FB7"/>
    <w:rsid w:val="00C50FBD"/>
    <w:rsid w:val="00C5137F"/>
    <w:rsid w:val="00C52265"/>
    <w:rsid w:val="00C52683"/>
    <w:rsid w:val="00C52AA7"/>
    <w:rsid w:val="00C53246"/>
    <w:rsid w:val="00C534B0"/>
    <w:rsid w:val="00C53D9A"/>
    <w:rsid w:val="00C5429C"/>
    <w:rsid w:val="00C5514C"/>
    <w:rsid w:val="00C55C20"/>
    <w:rsid w:val="00C55C9A"/>
    <w:rsid w:val="00C56C15"/>
    <w:rsid w:val="00C56E2C"/>
    <w:rsid w:val="00C576F6"/>
    <w:rsid w:val="00C60564"/>
    <w:rsid w:val="00C60896"/>
    <w:rsid w:val="00C60BC7"/>
    <w:rsid w:val="00C62AC2"/>
    <w:rsid w:val="00C62D30"/>
    <w:rsid w:val="00C63622"/>
    <w:rsid w:val="00C6453D"/>
    <w:rsid w:val="00C64541"/>
    <w:rsid w:val="00C66046"/>
    <w:rsid w:val="00C660B2"/>
    <w:rsid w:val="00C661C7"/>
    <w:rsid w:val="00C663DD"/>
    <w:rsid w:val="00C66FB9"/>
    <w:rsid w:val="00C6765C"/>
    <w:rsid w:val="00C67DA5"/>
    <w:rsid w:val="00C700C5"/>
    <w:rsid w:val="00C70777"/>
    <w:rsid w:val="00C713C2"/>
    <w:rsid w:val="00C71F94"/>
    <w:rsid w:val="00C7249B"/>
    <w:rsid w:val="00C72989"/>
    <w:rsid w:val="00C7299E"/>
    <w:rsid w:val="00C729D6"/>
    <w:rsid w:val="00C73D74"/>
    <w:rsid w:val="00C73E76"/>
    <w:rsid w:val="00C74B6F"/>
    <w:rsid w:val="00C75C8B"/>
    <w:rsid w:val="00C75FEE"/>
    <w:rsid w:val="00C800F1"/>
    <w:rsid w:val="00C80514"/>
    <w:rsid w:val="00C80706"/>
    <w:rsid w:val="00C80A36"/>
    <w:rsid w:val="00C80A64"/>
    <w:rsid w:val="00C80D13"/>
    <w:rsid w:val="00C818A1"/>
    <w:rsid w:val="00C82361"/>
    <w:rsid w:val="00C823BB"/>
    <w:rsid w:val="00C82804"/>
    <w:rsid w:val="00C83209"/>
    <w:rsid w:val="00C84C72"/>
    <w:rsid w:val="00C85441"/>
    <w:rsid w:val="00C8585F"/>
    <w:rsid w:val="00C90548"/>
    <w:rsid w:val="00C9059C"/>
    <w:rsid w:val="00C919D0"/>
    <w:rsid w:val="00C91B00"/>
    <w:rsid w:val="00C92A1B"/>
    <w:rsid w:val="00C93181"/>
    <w:rsid w:val="00C932EF"/>
    <w:rsid w:val="00C93315"/>
    <w:rsid w:val="00C93323"/>
    <w:rsid w:val="00C93904"/>
    <w:rsid w:val="00C955B5"/>
    <w:rsid w:val="00C95C22"/>
    <w:rsid w:val="00C967D9"/>
    <w:rsid w:val="00C97010"/>
    <w:rsid w:val="00C97A51"/>
    <w:rsid w:val="00CA08F1"/>
    <w:rsid w:val="00CA1901"/>
    <w:rsid w:val="00CA1D32"/>
    <w:rsid w:val="00CA22DB"/>
    <w:rsid w:val="00CA2D8F"/>
    <w:rsid w:val="00CA3427"/>
    <w:rsid w:val="00CA3880"/>
    <w:rsid w:val="00CA43DE"/>
    <w:rsid w:val="00CA4BBD"/>
    <w:rsid w:val="00CA59DE"/>
    <w:rsid w:val="00CA631E"/>
    <w:rsid w:val="00CA7213"/>
    <w:rsid w:val="00CA7350"/>
    <w:rsid w:val="00CA7E96"/>
    <w:rsid w:val="00CA7F10"/>
    <w:rsid w:val="00CB033D"/>
    <w:rsid w:val="00CB0B04"/>
    <w:rsid w:val="00CB0C78"/>
    <w:rsid w:val="00CB2048"/>
    <w:rsid w:val="00CB2521"/>
    <w:rsid w:val="00CB36AC"/>
    <w:rsid w:val="00CB4B88"/>
    <w:rsid w:val="00CB5928"/>
    <w:rsid w:val="00CB5CDA"/>
    <w:rsid w:val="00CB6C90"/>
    <w:rsid w:val="00CB6EED"/>
    <w:rsid w:val="00CB7B46"/>
    <w:rsid w:val="00CB7D11"/>
    <w:rsid w:val="00CC2A51"/>
    <w:rsid w:val="00CC37D6"/>
    <w:rsid w:val="00CC44CA"/>
    <w:rsid w:val="00CC4EAD"/>
    <w:rsid w:val="00CC5063"/>
    <w:rsid w:val="00CC5870"/>
    <w:rsid w:val="00CC5E20"/>
    <w:rsid w:val="00CC6310"/>
    <w:rsid w:val="00CC674A"/>
    <w:rsid w:val="00CC6B79"/>
    <w:rsid w:val="00CD03DE"/>
    <w:rsid w:val="00CD0763"/>
    <w:rsid w:val="00CD2955"/>
    <w:rsid w:val="00CD2F07"/>
    <w:rsid w:val="00CD320A"/>
    <w:rsid w:val="00CD43F0"/>
    <w:rsid w:val="00CD4842"/>
    <w:rsid w:val="00CD5F45"/>
    <w:rsid w:val="00CD624B"/>
    <w:rsid w:val="00CD6C62"/>
    <w:rsid w:val="00CD7346"/>
    <w:rsid w:val="00CD75E9"/>
    <w:rsid w:val="00CD7C80"/>
    <w:rsid w:val="00CE0119"/>
    <w:rsid w:val="00CE08EA"/>
    <w:rsid w:val="00CE08FB"/>
    <w:rsid w:val="00CE0984"/>
    <w:rsid w:val="00CE29DA"/>
    <w:rsid w:val="00CE389F"/>
    <w:rsid w:val="00CE3F90"/>
    <w:rsid w:val="00CE4145"/>
    <w:rsid w:val="00CE4791"/>
    <w:rsid w:val="00CE49A8"/>
    <w:rsid w:val="00CE573F"/>
    <w:rsid w:val="00CE62C9"/>
    <w:rsid w:val="00CE68BE"/>
    <w:rsid w:val="00CF07DF"/>
    <w:rsid w:val="00CF07F9"/>
    <w:rsid w:val="00CF0E05"/>
    <w:rsid w:val="00CF140A"/>
    <w:rsid w:val="00CF1812"/>
    <w:rsid w:val="00CF2D4C"/>
    <w:rsid w:val="00CF3121"/>
    <w:rsid w:val="00CF324B"/>
    <w:rsid w:val="00CF35B5"/>
    <w:rsid w:val="00CF3B32"/>
    <w:rsid w:val="00CF464E"/>
    <w:rsid w:val="00CF4778"/>
    <w:rsid w:val="00CF4BC8"/>
    <w:rsid w:val="00CF4CAC"/>
    <w:rsid w:val="00CF4F28"/>
    <w:rsid w:val="00CF5024"/>
    <w:rsid w:val="00CF60A3"/>
    <w:rsid w:val="00CF6D50"/>
    <w:rsid w:val="00D00176"/>
    <w:rsid w:val="00D02003"/>
    <w:rsid w:val="00D02199"/>
    <w:rsid w:val="00D021B2"/>
    <w:rsid w:val="00D028D2"/>
    <w:rsid w:val="00D02FF3"/>
    <w:rsid w:val="00D039C4"/>
    <w:rsid w:val="00D05042"/>
    <w:rsid w:val="00D054B3"/>
    <w:rsid w:val="00D06075"/>
    <w:rsid w:val="00D07535"/>
    <w:rsid w:val="00D07959"/>
    <w:rsid w:val="00D07A50"/>
    <w:rsid w:val="00D07AD3"/>
    <w:rsid w:val="00D1124E"/>
    <w:rsid w:val="00D11811"/>
    <w:rsid w:val="00D12132"/>
    <w:rsid w:val="00D12D88"/>
    <w:rsid w:val="00D140E6"/>
    <w:rsid w:val="00D141E0"/>
    <w:rsid w:val="00D14D5E"/>
    <w:rsid w:val="00D14E80"/>
    <w:rsid w:val="00D15091"/>
    <w:rsid w:val="00D15E37"/>
    <w:rsid w:val="00D171F7"/>
    <w:rsid w:val="00D178D0"/>
    <w:rsid w:val="00D217A2"/>
    <w:rsid w:val="00D21DAD"/>
    <w:rsid w:val="00D221FA"/>
    <w:rsid w:val="00D2224B"/>
    <w:rsid w:val="00D228DB"/>
    <w:rsid w:val="00D235E0"/>
    <w:rsid w:val="00D24028"/>
    <w:rsid w:val="00D24180"/>
    <w:rsid w:val="00D244A6"/>
    <w:rsid w:val="00D245C1"/>
    <w:rsid w:val="00D2515A"/>
    <w:rsid w:val="00D26A4F"/>
    <w:rsid w:val="00D26B64"/>
    <w:rsid w:val="00D27878"/>
    <w:rsid w:val="00D30385"/>
    <w:rsid w:val="00D32964"/>
    <w:rsid w:val="00D33422"/>
    <w:rsid w:val="00D33847"/>
    <w:rsid w:val="00D33AEF"/>
    <w:rsid w:val="00D34742"/>
    <w:rsid w:val="00D34C3E"/>
    <w:rsid w:val="00D359DA"/>
    <w:rsid w:val="00D36FCC"/>
    <w:rsid w:val="00D370A7"/>
    <w:rsid w:val="00D3788E"/>
    <w:rsid w:val="00D41E76"/>
    <w:rsid w:val="00D420B0"/>
    <w:rsid w:val="00D4238C"/>
    <w:rsid w:val="00D42B0D"/>
    <w:rsid w:val="00D42C47"/>
    <w:rsid w:val="00D43E8A"/>
    <w:rsid w:val="00D44010"/>
    <w:rsid w:val="00D444D6"/>
    <w:rsid w:val="00D45CE6"/>
    <w:rsid w:val="00D45DF8"/>
    <w:rsid w:val="00D45E2C"/>
    <w:rsid w:val="00D466F4"/>
    <w:rsid w:val="00D470B2"/>
    <w:rsid w:val="00D4718A"/>
    <w:rsid w:val="00D47366"/>
    <w:rsid w:val="00D5002B"/>
    <w:rsid w:val="00D50A62"/>
    <w:rsid w:val="00D514E5"/>
    <w:rsid w:val="00D52606"/>
    <w:rsid w:val="00D54D60"/>
    <w:rsid w:val="00D54F03"/>
    <w:rsid w:val="00D5539B"/>
    <w:rsid w:val="00D555D8"/>
    <w:rsid w:val="00D55FD5"/>
    <w:rsid w:val="00D56117"/>
    <w:rsid w:val="00D56623"/>
    <w:rsid w:val="00D57215"/>
    <w:rsid w:val="00D57FF3"/>
    <w:rsid w:val="00D60456"/>
    <w:rsid w:val="00D608E4"/>
    <w:rsid w:val="00D6090B"/>
    <w:rsid w:val="00D61BDD"/>
    <w:rsid w:val="00D61C97"/>
    <w:rsid w:val="00D61D89"/>
    <w:rsid w:val="00D634EB"/>
    <w:rsid w:val="00D636ED"/>
    <w:rsid w:val="00D6432A"/>
    <w:rsid w:val="00D644A8"/>
    <w:rsid w:val="00D64923"/>
    <w:rsid w:val="00D65321"/>
    <w:rsid w:val="00D65C17"/>
    <w:rsid w:val="00D65D5E"/>
    <w:rsid w:val="00D65E53"/>
    <w:rsid w:val="00D660F0"/>
    <w:rsid w:val="00D66509"/>
    <w:rsid w:val="00D66D2E"/>
    <w:rsid w:val="00D6702B"/>
    <w:rsid w:val="00D678D1"/>
    <w:rsid w:val="00D67ADC"/>
    <w:rsid w:val="00D67E02"/>
    <w:rsid w:val="00D70EF4"/>
    <w:rsid w:val="00D71ABD"/>
    <w:rsid w:val="00D71F25"/>
    <w:rsid w:val="00D72670"/>
    <w:rsid w:val="00D72C00"/>
    <w:rsid w:val="00D73404"/>
    <w:rsid w:val="00D73CB2"/>
    <w:rsid w:val="00D74FEC"/>
    <w:rsid w:val="00D76AA8"/>
    <w:rsid w:val="00D76B21"/>
    <w:rsid w:val="00D76E1F"/>
    <w:rsid w:val="00D76F6A"/>
    <w:rsid w:val="00D77218"/>
    <w:rsid w:val="00D7789C"/>
    <w:rsid w:val="00D77FA4"/>
    <w:rsid w:val="00D80A12"/>
    <w:rsid w:val="00D81836"/>
    <w:rsid w:val="00D81BD8"/>
    <w:rsid w:val="00D82368"/>
    <w:rsid w:val="00D82ACE"/>
    <w:rsid w:val="00D83B91"/>
    <w:rsid w:val="00D83ECB"/>
    <w:rsid w:val="00D8500D"/>
    <w:rsid w:val="00D8517E"/>
    <w:rsid w:val="00D851CD"/>
    <w:rsid w:val="00D855D8"/>
    <w:rsid w:val="00D85951"/>
    <w:rsid w:val="00D90318"/>
    <w:rsid w:val="00D91A73"/>
    <w:rsid w:val="00D91B98"/>
    <w:rsid w:val="00D91F69"/>
    <w:rsid w:val="00D9231D"/>
    <w:rsid w:val="00D934FC"/>
    <w:rsid w:val="00D935D6"/>
    <w:rsid w:val="00D938C1"/>
    <w:rsid w:val="00D939E3"/>
    <w:rsid w:val="00D94090"/>
    <w:rsid w:val="00D946CA"/>
    <w:rsid w:val="00D94F58"/>
    <w:rsid w:val="00D951EA"/>
    <w:rsid w:val="00D952EC"/>
    <w:rsid w:val="00D95A97"/>
    <w:rsid w:val="00D9611B"/>
    <w:rsid w:val="00D9627C"/>
    <w:rsid w:val="00D96D62"/>
    <w:rsid w:val="00D96F18"/>
    <w:rsid w:val="00D9754A"/>
    <w:rsid w:val="00DA12B0"/>
    <w:rsid w:val="00DA25F4"/>
    <w:rsid w:val="00DA2DB9"/>
    <w:rsid w:val="00DA2F16"/>
    <w:rsid w:val="00DA44C2"/>
    <w:rsid w:val="00DA529E"/>
    <w:rsid w:val="00DA5711"/>
    <w:rsid w:val="00DA57DE"/>
    <w:rsid w:val="00DA5BB7"/>
    <w:rsid w:val="00DA61D1"/>
    <w:rsid w:val="00DA63DE"/>
    <w:rsid w:val="00DA6654"/>
    <w:rsid w:val="00DA7A59"/>
    <w:rsid w:val="00DA7BD5"/>
    <w:rsid w:val="00DB023D"/>
    <w:rsid w:val="00DB14C7"/>
    <w:rsid w:val="00DB1764"/>
    <w:rsid w:val="00DB2468"/>
    <w:rsid w:val="00DB2506"/>
    <w:rsid w:val="00DB2F43"/>
    <w:rsid w:val="00DB3599"/>
    <w:rsid w:val="00DB3993"/>
    <w:rsid w:val="00DB4DDD"/>
    <w:rsid w:val="00DB507B"/>
    <w:rsid w:val="00DB6CBC"/>
    <w:rsid w:val="00DB7082"/>
    <w:rsid w:val="00DB70C5"/>
    <w:rsid w:val="00DB774B"/>
    <w:rsid w:val="00DB7987"/>
    <w:rsid w:val="00DB7A1D"/>
    <w:rsid w:val="00DC0704"/>
    <w:rsid w:val="00DC0B4A"/>
    <w:rsid w:val="00DC0DB9"/>
    <w:rsid w:val="00DC2D64"/>
    <w:rsid w:val="00DC3046"/>
    <w:rsid w:val="00DC3F1D"/>
    <w:rsid w:val="00DC4D66"/>
    <w:rsid w:val="00DC55EE"/>
    <w:rsid w:val="00DC641A"/>
    <w:rsid w:val="00DC64FA"/>
    <w:rsid w:val="00DC73ED"/>
    <w:rsid w:val="00DC763A"/>
    <w:rsid w:val="00DC7997"/>
    <w:rsid w:val="00DD0D53"/>
    <w:rsid w:val="00DD18D1"/>
    <w:rsid w:val="00DD3C6D"/>
    <w:rsid w:val="00DD4252"/>
    <w:rsid w:val="00DD4459"/>
    <w:rsid w:val="00DD4B5C"/>
    <w:rsid w:val="00DD4D39"/>
    <w:rsid w:val="00DD529C"/>
    <w:rsid w:val="00DD5759"/>
    <w:rsid w:val="00DD5B86"/>
    <w:rsid w:val="00DD5CB3"/>
    <w:rsid w:val="00DD6DF4"/>
    <w:rsid w:val="00DD70E9"/>
    <w:rsid w:val="00DD71CB"/>
    <w:rsid w:val="00DD7B79"/>
    <w:rsid w:val="00DD7E70"/>
    <w:rsid w:val="00DE0E1F"/>
    <w:rsid w:val="00DE0F0F"/>
    <w:rsid w:val="00DE1B02"/>
    <w:rsid w:val="00DE1E54"/>
    <w:rsid w:val="00DE2425"/>
    <w:rsid w:val="00DE34E5"/>
    <w:rsid w:val="00DE37AD"/>
    <w:rsid w:val="00DE4980"/>
    <w:rsid w:val="00DE5076"/>
    <w:rsid w:val="00DE51D0"/>
    <w:rsid w:val="00DE53D7"/>
    <w:rsid w:val="00DE6E17"/>
    <w:rsid w:val="00DE78EC"/>
    <w:rsid w:val="00DE7B9F"/>
    <w:rsid w:val="00DF067F"/>
    <w:rsid w:val="00DF152D"/>
    <w:rsid w:val="00DF17BA"/>
    <w:rsid w:val="00DF2136"/>
    <w:rsid w:val="00DF2EBA"/>
    <w:rsid w:val="00DF360F"/>
    <w:rsid w:val="00DF3D4B"/>
    <w:rsid w:val="00DF409F"/>
    <w:rsid w:val="00DF42A7"/>
    <w:rsid w:val="00DF5146"/>
    <w:rsid w:val="00DF51E6"/>
    <w:rsid w:val="00DF550F"/>
    <w:rsid w:val="00DF765C"/>
    <w:rsid w:val="00DF7FA2"/>
    <w:rsid w:val="00E00350"/>
    <w:rsid w:val="00E00B62"/>
    <w:rsid w:val="00E00D89"/>
    <w:rsid w:val="00E01F1C"/>
    <w:rsid w:val="00E02043"/>
    <w:rsid w:val="00E03ED6"/>
    <w:rsid w:val="00E04F35"/>
    <w:rsid w:val="00E05198"/>
    <w:rsid w:val="00E053A2"/>
    <w:rsid w:val="00E0594B"/>
    <w:rsid w:val="00E0758D"/>
    <w:rsid w:val="00E07D9B"/>
    <w:rsid w:val="00E1179A"/>
    <w:rsid w:val="00E11ABB"/>
    <w:rsid w:val="00E12477"/>
    <w:rsid w:val="00E12DAC"/>
    <w:rsid w:val="00E12E00"/>
    <w:rsid w:val="00E14237"/>
    <w:rsid w:val="00E15426"/>
    <w:rsid w:val="00E15817"/>
    <w:rsid w:val="00E1767A"/>
    <w:rsid w:val="00E21446"/>
    <w:rsid w:val="00E215EB"/>
    <w:rsid w:val="00E23ED0"/>
    <w:rsid w:val="00E247A9"/>
    <w:rsid w:val="00E2493E"/>
    <w:rsid w:val="00E25211"/>
    <w:rsid w:val="00E2589F"/>
    <w:rsid w:val="00E27691"/>
    <w:rsid w:val="00E30C33"/>
    <w:rsid w:val="00E31325"/>
    <w:rsid w:val="00E31D87"/>
    <w:rsid w:val="00E32236"/>
    <w:rsid w:val="00E342FD"/>
    <w:rsid w:val="00E34D4B"/>
    <w:rsid w:val="00E3593C"/>
    <w:rsid w:val="00E35ABD"/>
    <w:rsid w:val="00E35E31"/>
    <w:rsid w:val="00E361C9"/>
    <w:rsid w:val="00E36811"/>
    <w:rsid w:val="00E401AE"/>
    <w:rsid w:val="00E412B5"/>
    <w:rsid w:val="00E41897"/>
    <w:rsid w:val="00E418A8"/>
    <w:rsid w:val="00E41A4C"/>
    <w:rsid w:val="00E42DC3"/>
    <w:rsid w:val="00E430D7"/>
    <w:rsid w:val="00E432C1"/>
    <w:rsid w:val="00E439C3"/>
    <w:rsid w:val="00E43E12"/>
    <w:rsid w:val="00E45918"/>
    <w:rsid w:val="00E46776"/>
    <w:rsid w:val="00E46855"/>
    <w:rsid w:val="00E46A28"/>
    <w:rsid w:val="00E47159"/>
    <w:rsid w:val="00E50FF8"/>
    <w:rsid w:val="00E516A6"/>
    <w:rsid w:val="00E51D02"/>
    <w:rsid w:val="00E5282E"/>
    <w:rsid w:val="00E535FF"/>
    <w:rsid w:val="00E53846"/>
    <w:rsid w:val="00E53F04"/>
    <w:rsid w:val="00E543D5"/>
    <w:rsid w:val="00E54626"/>
    <w:rsid w:val="00E55005"/>
    <w:rsid w:val="00E55B22"/>
    <w:rsid w:val="00E55DF5"/>
    <w:rsid w:val="00E56D84"/>
    <w:rsid w:val="00E578E3"/>
    <w:rsid w:val="00E57AB8"/>
    <w:rsid w:val="00E60144"/>
    <w:rsid w:val="00E61078"/>
    <w:rsid w:val="00E616DA"/>
    <w:rsid w:val="00E61AA4"/>
    <w:rsid w:val="00E62138"/>
    <w:rsid w:val="00E6271A"/>
    <w:rsid w:val="00E63600"/>
    <w:rsid w:val="00E6377A"/>
    <w:rsid w:val="00E639FF"/>
    <w:rsid w:val="00E64E1B"/>
    <w:rsid w:val="00E651D1"/>
    <w:rsid w:val="00E6562C"/>
    <w:rsid w:val="00E6574D"/>
    <w:rsid w:val="00E66261"/>
    <w:rsid w:val="00E664ED"/>
    <w:rsid w:val="00E6691C"/>
    <w:rsid w:val="00E675B6"/>
    <w:rsid w:val="00E70423"/>
    <w:rsid w:val="00E705EF"/>
    <w:rsid w:val="00E706C9"/>
    <w:rsid w:val="00E72B7B"/>
    <w:rsid w:val="00E7328B"/>
    <w:rsid w:val="00E7419A"/>
    <w:rsid w:val="00E750C3"/>
    <w:rsid w:val="00E757FF"/>
    <w:rsid w:val="00E769A6"/>
    <w:rsid w:val="00E77600"/>
    <w:rsid w:val="00E77A59"/>
    <w:rsid w:val="00E8010A"/>
    <w:rsid w:val="00E802A5"/>
    <w:rsid w:val="00E80589"/>
    <w:rsid w:val="00E80720"/>
    <w:rsid w:val="00E80947"/>
    <w:rsid w:val="00E82C58"/>
    <w:rsid w:val="00E84330"/>
    <w:rsid w:val="00E84412"/>
    <w:rsid w:val="00E85403"/>
    <w:rsid w:val="00E873D5"/>
    <w:rsid w:val="00E87797"/>
    <w:rsid w:val="00E87AE9"/>
    <w:rsid w:val="00E87F8C"/>
    <w:rsid w:val="00E903EE"/>
    <w:rsid w:val="00E906E3"/>
    <w:rsid w:val="00E90ADE"/>
    <w:rsid w:val="00E910CF"/>
    <w:rsid w:val="00E91208"/>
    <w:rsid w:val="00E9242C"/>
    <w:rsid w:val="00E92E89"/>
    <w:rsid w:val="00E93100"/>
    <w:rsid w:val="00E9363A"/>
    <w:rsid w:val="00E93E20"/>
    <w:rsid w:val="00E94C1C"/>
    <w:rsid w:val="00E956B3"/>
    <w:rsid w:val="00E96182"/>
    <w:rsid w:val="00E96337"/>
    <w:rsid w:val="00E96B7E"/>
    <w:rsid w:val="00E96CE9"/>
    <w:rsid w:val="00E96E37"/>
    <w:rsid w:val="00EA0A0E"/>
    <w:rsid w:val="00EA0B41"/>
    <w:rsid w:val="00EA0CAD"/>
    <w:rsid w:val="00EA10A4"/>
    <w:rsid w:val="00EA1F72"/>
    <w:rsid w:val="00EA235E"/>
    <w:rsid w:val="00EA2C9C"/>
    <w:rsid w:val="00EA2ECD"/>
    <w:rsid w:val="00EA30B7"/>
    <w:rsid w:val="00EA3A36"/>
    <w:rsid w:val="00EA5435"/>
    <w:rsid w:val="00EA67E1"/>
    <w:rsid w:val="00EA6804"/>
    <w:rsid w:val="00EA725D"/>
    <w:rsid w:val="00EA791F"/>
    <w:rsid w:val="00EA79CC"/>
    <w:rsid w:val="00EB2524"/>
    <w:rsid w:val="00EB353B"/>
    <w:rsid w:val="00EB4485"/>
    <w:rsid w:val="00EB4FD0"/>
    <w:rsid w:val="00EB577E"/>
    <w:rsid w:val="00EB5E57"/>
    <w:rsid w:val="00EC0210"/>
    <w:rsid w:val="00EC1322"/>
    <w:rsid w:val="00EC1389"/>
    <w:rsid w:val="00EC1763"/>
    <w:rsid w:val="00EC2668"/>
    <w:rsid w:val="00EC3484"/>
    <w:rsid w:val="00EC379A"/>
    <w:rsid w:val="00EC5C51"/>
    <w:rsid w:val="00EC5D4B"/>
    <w:rsid w:val="00EC60BB"/>
    <w:rsid w:val="00EC77B3"/>
    <w:rsid w:val="00EC79F6"/>
    <w:rsid w:val="00ED063D"/>
    <w:rsid w:val="00ED0E37"/>
    <w:rsid w:val="00ED109F"/>
    <w:rsid w:val="00ED1F3D"/>
    <w:rsid w:val="00ED27EE"/>
    <w:rsid w:val="00ED29AF"/>
    <w:rsid w:val="00ED2AD6"/>
    <w:rsid w:val="00ED34CF"/>
    <w:rsid w:val="00ED398A"/>
    <w:rsid w:val="00ED48C9"/>
    <w:rsid w:val="00ED4E9F"/>
    <w:rsid w:val="00ED4FC1"/>
    <w:rsid w:val="00ED5F5B"/>
    <w:rsid w:val="00ED6F15"/>
    <w:rsid w:val="00ED7856"/>
    <w:rsid w:val="00ED7A73"/>
    <w:rsid w:val="00EE0643"/>
    <w:rsid w:val="00EE0974"/>
    <w:rsid w:val="00EE0BAA"/>
    <w:rsid w:val="00EE0ECC"/>
    <w:rsid w:val="00EE0F23"/>
    <w:rsid w:val="00EE1CBE"/>
    <w:rsid w:val="00EE1E59"/>
    <w:rsid w:val="00EE218D"/>
    <w:rsid w:val="00EE22AD"/>
    <w:rsid w:val="00EE2C51"/>
    <w:rsid w:val="00EE2F07"/>
    <w:rsid w:val="00EE3D19"/>
    <w:rsid w:val="00EE3D7F"/>
    <w:rsid w:val="00EE444D"/>
    <w:rsid w:val="00EE5562"/>
    <w:rsid w:val="00EE57D0"/>
    <w:rsid w:val="00EE6A87"/>
    <w:rsid w:val="00EE7CC9"/>
    <w:rsid w:val="00EF078E"/>
    <w:rsid w:val="00EF167C"/>
    <w:rsid w:val="00EF1D88"/>
    <w:rsid w:val="00EF2148"/>
    <w:rsid w:val="00EF2A67"/>
    <w:rsid w:val="00EF4149"/>
    <w:rsid w:val="00EF4778"/>
    <w:rsid w:val="00EF4D07"/>
    <w:rsid w:val="00EF65BD"/>
    <w:rsid w:val="00EF6789"/>
    <w:rsid w:val="00EF6F94"/>
    <w:rsid w:val="00EF7542"/>
    <w:rsid w:val="00F01201"/>
    <w:rsid w:val="00F01B74"/>
    <w:rsid w:val="00F01C68"/>
    <w:rsid w:val="00F02CCF"/>
    <w:rsid w:val="00F038D6"/>
    <w:rsid w:val="00F0392D"/>
    <w:rsid w:val="00F0409B"/>
    <w:rsid w:val="00F053C4"/>
    <w:rsid w:val="00F059C0"/>
    <w:rsid w:val="00F067F0"/>
    <w:rsid w:val="00F069AF"/>
    <w:rsid w:val="00F06DCB"/>
    <w:rsid w:val="00F07156"/>
    <w:rsid w:val="00F0715B"/>
    <w:rsid w:val="00F0745B"/>
    <w:rsid w:val="00F07C29"/>
    <w:rsid w:val="00F10AC0"/>
    <w:rsid w:val="00F10EEE"/>
    <w:rsid w:val="00F11447"/>
    <w:rsid w:val="00F1153E"/>
    <w:rsid w:val="00F115D0"/>
    <w:rsid w:val="00F11CE9"/>
    <w:rsid w:val="00F12CD2"/>
    <w:rsid w:val="00F1335E"/>
    <w:rsid w:val="00F133BB"/>
    <w:rsid w:val="00F13410"/>
    <w:rsid w:val="00F13E4F"/>
    <w:rsid w:val="00F14FA1"/>
    <w:rsid w:val="00F15187"/>
    <w:rsid w:val="00F155E7"/>
    <w:rsid w:val="00F16775"/>
    <w:rsid w:val="00F16BFF"/>
    <w:rsid w:val="00F2015E"/>
    <w:rsid w:val="00F2089A"/>
    <w:rsid w:val="00F209D2"/>
    <w:rsid w:val="00F20BE0"/>
    <w:rsid w:val="00F21499"/>
    <w:rsid w:val="00F21650"/>
    <w:rsid w:val="00F21A79"/>
    <w:rsid w:val="00F21CDF"/>
    <w:rsid w:val="00F22933"/>
    <w:rsid w:val="00F24AE1"/>
    <w:rsid w:val="00F2556B"/>
    <w:rsid w:val="00F27761"/>
    <w:rsid w:val="00F27BBA"/>
    <w:rsid w:val="00F30393"/>
    <w:rsid w:val="00F30610"/>
    <w:rsid w:val="00F308A1"/>
    <w:rsid w:val="00F30AC1"/>
    <w:rsid w:val="00F3138F"/>
    <w:rsid w:val="00F32258"/>
    <w:rsid w:val="00F32954"/>
    <w:rsid w:val="00F32FA8"/>
    <w:rsid w:val="00F3329F"/>
    <w:rsid w:val="00F337EC"/>
    <w:rsid w:val="00F34CC2"/>
    <w:rsid w:val="00F34D35"/>
    <w:rsid w:val="00F35B64"/>
    <w:rsid w:val="00F360BB"/>
    <w:rsid w:val="00F361CB"/>
    <w:rsid w:val="00F401F3"/>
    <w:rsid w:val="00F41408"/>
    <w:rsid w:val="00F419AC"/>
    <w:rsid w:val="00F41DE2"/>
    <w:rsid w:val="00F4253A"/>
    <w:rsid w:val="00F4318B"/>
    <w:rsid w:val="00F44ACF"/>
    <w:rsid w:val="00F451A1"/>
    <w:rsid w:val="00F45DBE"/>
    <w:rsid w:val="00F46CCF"/>
    <w:rsid w:val="00F47325"/>
    <w:rsid w:val="00F50712"/>
    <w:rsid w:val="00F50C0D"/>
    <w:rsid w:val="00F515D4"/>
    <w:rsid w:val="00F51AB3"/>
    <w:rsid w:val="00F51BD4"/>
    <w:rsid w:val="00F51D9C"/>
    <w:rsid w:val="00F521E1"/>
    <w:rsid w:val="00F527D2"/>
    <w:rsid w:val="00F52FBD"/>
    <w:rsid w:val="00F54C17"/>
    <w:rsid w:val="00F54C7B"/>
    <w:rsid w:val="00F54F6B"/>
    <w:rsid w:val="00F5767B"/>
    <w:rsid w:val="00F61712"/>
    <w:rsid w:val="00F61DCE"/>
    <w:rsid w:val="00F62934"/>
    <w:rsid w:val="00F62DE3"/>
    <w:rsid w:val="00F62EF6"/>
    <w:rsid w:val="00F63005"/>
    <w:rsid w:val="00F63571"/>
    <w:rsid w:val="00F64685"/>
    <w:rsid w:val="00F65B95"/>
    <w:rsid w:val="00F66E3C"/>
    <w:rsid w:val="00F67789"/>
    <w:rsid w:val="00F705D4"/>
    <w:rsid w:val="00F7118A"/>
    <w:rsid w:val="00F72BDE"/>
    <w:rsid w:val="00F72CD7"/>
    <w:rsid w:val="00F72F6E"/>
    <w:rsid w:val="00F73302"/>
    <w:rsid w:val="00F74864"/>
    <w:rsid w:val="00F74A33"/>
    <w:rsid w:val="00F74DFF"/>
    <w:rsid w:val="00F750AE"/>
    <w:rsid w:val="00F75DF1"/>
    <w:rsid w:val="00F75E8F"/>
    <w:rsid w:val="00F76091"/>
    <w:rsid w:val="00F7708D"/>
    <w:rsid w:val="00F773C0"/>
    <w:rsid w:val="00F77972"/>
    <w:rsid w:val="00F80108"/>
    <w:rsid w:val="00F81184"/>
    <w:rsid w:val="00F81188"/>
    <w:rsid w:val="00F8230E"/>
    <w:rsid w:val="00F8232F"/>
    <w:rsid w:val="00F82C69"/>
    <w:rsid w:val="00F83230"/>
    <w:rsid w:val="00F8342F"/>
    <w:rsid w:val="00F84512"/>
    <w:rsid w:val="00F873C2"/>
    <w:rsid w:val="00F877FC"/>
    <w:rsid w:val="00F90EFB"/>
    <w:rsid w:val="00F9170D"/>
    <w:rsid w:val="00F91EAD"/>
    <w:rsid w:val="00F91F36"/>
    <w:rsid w:val="00F92719"/>
    <w:rsid w:val="00F92E2D"/>
    <w:rsid w:val="00F92E95"/>
    <w:rsid w:val="00F92FB7"/>
    <w:rsid w:val="00F93248"/>
    <w:rsid w:val="00F94291"/>
    <w:rsid w:val="00F943F0"/>
    <w:rsid w:val="00F94FD8"/>
    <w:rsid w:val="00F95411"/>
    <w:rsid w:val="00F96253"/>
    <w:rsid w:val="00F9629F"/>
    <w:rsid w:val="00F963D0"/>
    <w:rsid w:val="00F96D05"/>
    <w:rsid w:val="00F973FF"/>
    <w:rsid w:val="00FA028A"/>
    <w:rsid w:val="00FA0B29"/>
    <w:rsid w:val="00FA2A4A"/>
    <w:rsid w:val="00FA3BC0"/>
    <w:rsid w:val="00FA3C38"/>
    <w:rsid w:val="00FA4FA6"/>
    <w:rsid w:val="00FA7259"/>
    <w:rsid w:val="00FA754C"/>
    <w:rsid w:val="00FA7DBE"/>
    <w:rsid w:val="00FB0F49"/>
    <w:rsid w:val="00FB101D"/>
    <w:rsid w:val="00FB1B19"/>
    <w:rsid w:val="00FB1BBB"/>
    <w:rsid w:val="00FB3172"/>
    <w:rsid w:val="00FB31FD"/>
    <w:rsid w:val="00FB3B53"/>
    <w:rsid w:val="00FB459A"/>
    <w:rsid w:val="00FB46A6"/>
    <w:rsid w:val="00FB5FB9"/>
    <w:rsid w:val="00FB61AB"/>
    <w:rsid w:val="00FB6276"/>
    <w:rsid w:val="00FB6348"/>
    <w:rsid w:val="00FB635C"/>
    <w:rsid w:val="00FB71ED"/>
    <w:rsid w:val="00FB79CF"/>
    <w:rsid w:val="00FC092F"/>
    <w:rsid w:val="00FC27C9"/>
    <w:rsid w:val="00FC2BE7"/>
    <w:rsid w:val="00FC3156"/>
    <w:rsid w:val="00FC3425"/>
    <w:rsid w:val="00FC6FBA"/>
    <w:rsid w:val="00FC7AE6"/>
    <w:rsid w:val="00FC7C01"/>
    <w:rsid w:val="00FC7C74"/>
    <w:rsid w:val="00FD0574"/>
    <w:rsid w:val="00FD0F99"/>
    <w:rsid w:val="00FD1448"/>
    <w:rsid w:val="00FD281B"/>
    <w:rsid w:val="00FD314E"/>
    <w:rsid w:val="00FD3372"/>
    <w:rsid w:val="00FD3515"/>
    <w:rsid w:val="00FD3E57"/>
    <w:rsid w:val="00FD49F5"/>
    <w:rsid w:val="00FD4D95"/>
    <w:rsid w:val="00FD6417"/>
    <w:rsid w:val="00FD6C88"/>
    <w:rsid w:val="00FD78E4"/>
    <w:rsid w:val="00FD7EF1"/>
    <w:rsid w:val="00FE003E"/>
    <w:rsid w:val="00FE06BC"/>
    <w:rsid w:val="00FE0C6F"/>
    <w:rsid w:val="00FE1196"/>
    <w:rsid w:val="00FE14BE"/>
    <w:rsid w:val="00FE3F99"/>
    <w:rsid w:val="00FE4114"/>
    <w:rsid w:val="00FE5255"/>
    <w:rsid w:val="00FE56B3"/>
    <w:rsid w:val="00FE6A18"/>
    <w:rsid w:val="00FE6CD8"/>
    <w:rsid w:val="00FE790A"/>
    <w:rsid w:val="00FF1BB8"/>
    <w:rsid w:val="00FF2E78"/>
    <w:rsid w:val="00FF3FC6"/>
    <w:rsid w:val="00FF465B"/>
    <w:rsid w:val="00FF4B8A"/>
    <w:rsid w:val="00FF5700"/>
    <w:rsid w:val="00FF6314"/>
    <w:rsid w:val="00FF6376"/>
    <w:rsid w:val="00FF6610"/>
    <w:rsid w:val="00FF72D4"/>
    <w:rsid w:val="00FF7E91"/>
    <w:rsid w:val="03F80E41"/>
    <w:rsid w:val="058B4EA4"/>
    <w:rsid w:val="06D682CA"/>
    <w:rsid w:val="0720EB48"/>
    <w:rsid w:val="07D4CBA0"/>
    <w:rsid w:val="088D5ED2"/>
    <w:rsid w:val="09FE828D"/>
    <w:rsid w:val="0A9A3F13"/>
    <w:rsid w:val="0B81FDA1"/>
    <w:rsid w:val="0D71CAE7"/>
    <w:rsid w:val="0F5551E1"/>
    <w:rsid w:val="0F88ACF9"/>
    <w:rsid w:val="13B3C208"/>
    <w:rsid w:val="13FB512E"/>
    <w:rsid w:val="14653E8C"/>
    <w:rsid w:val="149B2C8D"/>
    <w:rsid w:val="16D87F77"/>
    <w:rsid w:val="1708A881"/>
    <w:rsid w:val="17572F1A"/>
    <w:rsid w:val="1846BEB8"/>
    <w:rsid w:val="187FDE9E"/>
    <w:rsid w:val="18F9ED2B"/>
    <w:rsid w:val="1E6BD7A6"/>
    <w:rsid w:val="1F3DF1BF"/>
    <w:rsid w:val="2053A48F"/>
    <w:rsid w:val="20B48726"/>
    <w:rsid w:val="2186A7B8"/>
    <w:rsid w:val="218819B4"/>
    <w:rsid w:val="21EFD528"/>
    <w:rsid w:val="235E0B6D"/>
    <w:rsid w:val="25029AE1"/>
    <w:rsid w:val="2653BAA0"/>
    <w:rsid w:val="27BDB699"/>
    <w:rsid w:val="28C8CA27"/>
    <w:rsid w:val="28D791D5"/>
    <w:rsid w:val="294B19CB"/>
    <w:rsid w:val="2B474445"/>
    <w:rsid w:val="2C199CEB"/>
    <w:rsid w:val="2CAE135E"/>
    <w:rsid w:val="2EE54BC6"/>
    <w:rsid w:val="303B71B7"/>
    <w:rsid w:val="317687CD"/>
    <w:rsid w:val="343F9048"/>
    <w:rsid w:val="34D9C47B"/>
    <w:rsid w:val="3518429E"/>
    <w:rsid w:val="35220ECA"/>
    <w:rsid w:val="352BF750"/>
    <w:rsid w:val="355C68BD"/>
    <w:rsid w:val="35AB7BB7"/>
    <w:rsid w:val="35E91F33"/>
    <w:rsid w:val="3673C705"/>
    <w:rsid w:val="3783EBDC"/>
    <w:rsid w:val="3789169A"/>
    <w:rsid w:val="39B74B15"/>
    <w:rsid w:val="39C33379"/>
    <w:rsid w:val="3BB49751"/>
    <w:rsid w:val="3E71BA14"/>
    <w:rsid w:val="3FA8A219"/>
    <w:rsid w:val="4076536F"/>
    <w:rsid w:val="412F6EF6"/>
    <w:rsid w:val="4279C10F"/>
    <w:rsid w:val="42F1809A"/>
    <w:rsid w:val="43EEFA8C"/>
    <w:rsid w:val="44CE426B"/>
    <w:rsid w:val="4517B2CD"/>
    <w:rsid w:val="467605E4"/>
    <w:rsid w:val="47BB536B"/>
    <w:rsid w:val="4925E610"/>
    <w:rsid w:val="49C76346"/>
    <w:rsid w:val="4A5201E7"/>
    <w:rsid w:val="4AE36F1A"/>
    <w:rsid w:val="4BF6C8B1"/>
    <w:rsid w:val="4E655FC9"/>
    <w:rsid w:val="4E69DA85"/>
    <w:rsid w:val="50A075B8"/>
    <w:rsid w:val="5108F4A3"/>
    <w:rsid w:val="510A6450"/>
    <w:rsid w:val="514F346F"/>
    <w:rsid w:val="51DEDA76"/>
    <w:rsid w:val="528578AA"/>
    <w:rsid w:val="52C983BB"/>
    <w:rsid w:val="54275C7B"/>
    <w:rsid w:val="54471547"/>
    <w:rsid w:val="56DC43B3"/>
    <w:rsid w:val="57456725"/>
    <w:rsid w:val="5765C0AA"/>
    <w:rsid w:val="57F51BF8"/>
    <w:rsid w:val="58237A0B"/>
    <w:rsid w:val="59C099B6"/>
    <w:rsid w:val="5B6D6B41"/>
    <w:rsid w:val="5C63A620"/>
    <w:rsid w:val="5F2A8743"/>
    <w:rsid w:val="5F5A2254"/>
    <w:rsid w:val="5F9A3943"/>
    <w:rsid w:val="6068477F"/>
    <w:rsid w:val="61206368"/>
    <w:rsid w:val="61FE3AFF"/>
    <w:rsid w:val="62C1CF34"/>
    <w:rsid w:val="62CC9706"/>
    <w:rsid w:val="647DDD76"/>
    <w:rsid w:val="65804DE8"/>
    <w:rsid w:val="694CB253"/>
    <w:rsid w:val="6A05C446"/>
    <w:rsid w:val="6C9F9122"/>
    <w:rsid w:val="6D4104DC"/>
    <w:rsid w:val="6D4C2CE9"/>
    <w:rsid w:val="6E2C4059"/>
    <w:rsid w:val="6F82FCB0"/>
    <w:rsid w:val="6FFC1D4B"/>
    <w:rsid w:val="7013362E"/>
    <w:rsid w:val="73907769"/>
    <w:rsid w:val="744077F9"/>
    <w:rsid w:val="7462510A"/>
    <w:rsid w:val="75A622A3"/>
    <w:rsid w:val="76211117"/>
    <w:rsid w:val="77665E2A"/>
    <w:rsid w:val="77CA347C"/>
    <w:rsid w:val="784AEC8C"/>
    <w:rsid w:val="79256494"/>
    <w:rsid w:val="7A1E6927"/>
    <w:rsid w:val="7AED7C94"/>
    <w:rsid w:val="7B2DE459"/>
    <w:rsid w:val="7D782008"/>
    <w:rsid w:val="7E1242AA"/>
    <w:rsid w:val="7F155254"/>
  </w:rsids>
  <m:mathPr>
    <m:mathFont m:val="Cambria Math"/>
    <m:brkBin m:val="before"/>
    <m:brkBinSub m:val="--"/>
    <m:smallFrac m:val="0"/>
    <m:dispDef/>
    <m:lMargin m:val="0"/>
    <m:rMargin m:val="0"/>
    <m:defJc m:val="centerGroup"/>
    <m:wrapIndent m:val="1440"/>
    <m:intLim m:val="subSup"/>
    <m:naryLim m:val="undOvr"/>
  </m:mathPr>
  <w:themeFontLang w:val="pl-P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A8A72A"/>
  <w15:docId w15:val="{5B0BABE3-C790-4D51-A4C2-04217E081D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pl-PL" w:eastAsia="pl-PL"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E651D1"/>
    <w:pPr>
      <w:spacing w:after="80"/>
      <w:jc w:val="both"/>
    </w:pPr>
    <w:rPr>
      <w:rFonts w:eastAsia="Times New Roman"/>
      <w:lang w:eastAsia="en-US"/>
    </w:rPr>
  </w:style>
  <w:style w:type="paragraph" w:styleId="Nagwek1">
    <w:name w:val="heading 1"/>
    <w:aliases w:val="Topic Heading 1,H1,h1,L1,Level 1,Heading 1 Char"/>
    <w:basedOn w:val="Normalny"/>
    <w:next w:val="Normalny"/>
    <w:link w:val="Nagwek1Znak"/>
    <w:autoRedefine/>
    <w:qFormat/>
    <w:rsid w:val="002B3E90"/>
    <w:pPr>
      <w:numPr>
        <w:numId w:val="2"/>
      </w:numPr>
      <w:pBdr>
        <w:top w:val="single" w:sz="36" w:space="1" w:color="002457" w:themeColor="accent1"/>
        <w:left w:val="single" w:sz="36" w:space="0" w:color="002457" w:themeColor="accent1"/>
        <w:bottom w:val="single" w:sz="36" w:space="1" w:color="002457" w:themeColor="accent1"/>
      </w:pBdr>
      <w:shd w:val="clear" w:color="auto" w:fill="002457" w:themeFill="accent1"/>
      <w:spacing w:before="240" w:after="240"/>
      <w:outlineLvl w:val="0"/>
    </w:pPr>
    <w:rPr>
      <w:rFonts w:ascii="Calibri Light" w:hAnsi="Calibri Light"/>
      <w:b/>
      <w:bCs/>
      <w:caps/>
      <w:color w:val="FFFFFF"/>
      <w:spacing w:val="15"/>
      <w:sz w:val="28"/>
      <w:szCs w:val="28"/>
    </w:rPr>
  </w:style>
  <w:style w:type="paragraph" w:styleId="Nagwek2">
    <w:name w:val="heading 2"/>
    <w:aliases w:val="Topic Heading,sh,Section heading,sh2,sh3,sh4,sh5,sh6,sh7,sh1,sh8,sh9,sh10,sh11,sh12,sh13,sh14,sh15,sh16,sh17,sh18,sh19,Section heading1,sh21,sh31,sh41,Section heading2,sh22,sh32,sh42,Section heading3,sh23,sh33,sh43,sh51,Section heading4,sh24"/>
    <w:basedOn w:val="Normalny"/>
    <w:next w:val="Normalny"/>
    <w:link w:val="Nagwek2Znak"/>
    <w:autoRedefine/>
    <w:unhideWhenUsed/>
    <w:qFormat/>
    <w:rsid w:val="00747B7B"/>
    <w:pPr>
      <w:numPr>
        <w:ilvl w:val="1"/>
        <w:numId w:val="2"/>
      </w:numPr>
      <w:pBdr>
        <w:top w:val="single" w:sz="36" w:space="1" w:color="002457"/>
        <w:left w:val="single" w:sz="36" w:space="0" w:color="002457"/>
        <w:bottom w:val="single" w:sz="36" w:space="1" w:color="002457"/>
      </w:pBdr>
      <w:shd w:val="clear" w:color="auto" w:fill="002457"/>
      <w:spacing w:before="240" w:after="240"/>
      <w:ind w:left="589"/>
      <w:outlineLvl w:val="1"/>
    </w:pPr>
    <w:rPr>
      <w:rFonts w:ascii="Calibri Light" w:hAnsi="Calibri Light"/>
      <w:b/>
      <w:caps/>
      <w:color w:val="FFFFFF"/>
      <w:spacing w:val="15"/>
      <w:sz w:val="26"/>
      <w:szCs w:val="26"/>
    </w:rPr>
  </w:style>
  <w:style w:type="paragraph" w:styleId="Nagwek3">
    <w:name w:val="heading 3"/>
    <w:aliases w:val="H3-Heading 3,3,l3.3,h3,l3,list 3,Naglówek 3,Topic Sub Heading,H3,L3,Heading 3."/>
    <w:basedOn w:val="Normalny"/>
    <w:next w:val="Normalny"/>
    <w:link w:val="Nagwek3Znak"/>
    <w:autoRedefine/>
    <w:uiPriority w:val="9"/>
    <w:unhideWhenUsed/>
    <w:qFormat/>
    <w:rsid w:val="005017A2"/>
    <w:pPr>
      <w:numPr>
        <w:ilvl w:val="2"/>
        <w:numId w:val="1"/>
      </w:numPr>
      <w:pBdr>
        <w:top w:val="single" w:sz="12" w:space="4" w:color="44546A"/>
        <w:bottom w:val="single" w:sz="12" w:space="4" w:color="44546A"/>
      </w:pBdr>
      <w:spacing w:before="200" w:after="200"/>
      <w:ind w:left="850"/>
      <w:outlineLvl w:val="2"/>
    </w:pPr>
    <w:rPr>
      <w:rFonts w:asciiTheme="minorHAnsi" w:hAnsiTheme="minorHAnsi"/>
      <w:b/>
      <w:caps/>
      <w:color w:val="323E4F"/>
      <w:spacing w:val="15"/>
      <w:sz w:val="24"/>
      <w:szCs w:val="24"/>
    </w:rPr>
  </w:style>
  <w:style w:type="paragraph" w:styleId="Nagwek4">
    <w:name w:val="heading 4"/>
    <w:basedOn w:val="Normalny"/>
    <w:next w:val="Normalny"/>
    <w:link w:val="Nagwek4Znak"/>
    <w:uiPriority w:val="9"/>
    <w:unhideWhenUsed/>
    <w:qFormat/>
    <w:rsid w:val="003F2B72"/>
    <w:pPr>
      <w:numPr>
        <w:ilvl w:val="3"/>
        <w:numId w:val="1"/>
      </w:numPr>
      <w:pBdr>
        <w:top w:val="dotted" w:sz="12" w:space="3" w:color="44546A"/>
        <w:bottom w:val="dotted" w:sz="12" w:space="3" w:color="44546A"/>
      </w:pBdr>
      <w:spacing w:before="240" w:after="120"/>
      <w:jc w:val="left"/>
      <w:outlineLvl w:val="3"/>
    </w:pPr>
    <w:rPr>
      <w:caps/>
      <w:color w:val="323E4F"/>
      <w:spacing w:val="10"/>
      <w:sz w:val="22"/>
      <w:szCs w:val="22"/>
    </w:rPr>
  </w:style>
  <w:style w:type="paragraph" w:styleId="Nagwek5">
    <w:name w:val="heading 5"/>
    <w:basedOn w:val="Nagwek3"/>
    <w:next w:val="Normalny"/>
    <w:link w:val="Nagwek5Znak"/>
    <w:uiPriority w:val="9"/>
    <w:unhideWhenUsed/>
    <w:qFormat/>
    <w:rsid w:val="00BA4AFD"/>
    <w:pPr>
      <w:numPr>
        <w:ilvl w:val="0"/>
        <w:numId w:val="0"/>
      </w:numPr>
      <w:pBdr>
        <w:top w:val="none" w:sz="0" w:space="0" w:color="auto"/>
        <w:bottom w:val="single" w:sz="8" w:space="2" w:color="44546A"/>
      </w:pBdr>
      <w:spacing w:before="160" w:after="160"/>
      <w:ind w:left="426"/>
      <w:outlineLvl w:val="4"/>
    </w:pPr>
    <w:rPr>
      <w:sz w:val="20"/>
    </w:rPr>
  </w:style>
  <w:style w:type="paragraph" w:styleId="Nagwek6">
    <w:name w:val="heading 6"/>
    <w:basedOn w:val="Normalny"/>
    <w:next w:val="Normalny"/>
    <w:link w:val="Nagwek6Znak"/>
    <w:unhideWhenUsed/>
    <w:qFormat/>
    <w:rsid w:val="006E468E"/>
    <w:pPr>
      <w:keepNext/>
      <w:keepLines/>
      <w:spacing w:before="40" w:after="0"/>
      <w:outlineLvl w:val="5"/>
    </w:pPr>
    <w:rPr>
      <w:rFonts w:asciiTheme="majorHAnsi" w:eastAsiaTheme="majorEastAsia" w:hAnsiTheme="majorHAnsi" w:cstheme="majorBidi"/>
      <w:color w:val="00112B" w:themeColor="accent1" w:themeShade="7F"/>
    </w:rPr>
  </w:style>
  <w:style w:type="paragraph" w:styleId="Nagwek7">
    <w:name w:val="heading 7"/>
    <w:basedOn w:val="Normalny"/>
    <w:next w:val="Normalny"/>
    <w:link w:val="Nagwek7Znak"/>
    <w:unhideWhenUsed/>
    <w:qFormat/>
    <w:rsid w:val="009C61F6"/>
    <w:pPr>
      <w:keepNext/>
      <w:keepLines/>
      <w:spacing w:before="200" w:after="0"/>
      <w:outlineLvl w:val="6"/>
    </w:pPr>
    <w:rPr>
      <w:rFonts w:asciiTheme="majorHAnsi" w:eastAsiaTheme="majorEastAsia" w:hAnsiTheme="majorHAnsi" w:cstheme="majorBidi"/>
      <w:i/>
      <w:iCs/>
      <w:color w:val="404040" w:themeColor="text1" w:themeTint="BF"/>
    </w:rPr>
  </w:style>
  <w:style w:type="paragraph" w:styleId="Nagwek8">
    <w:name w:val="heading 8"/>
    <w:basedOn w:val="Normalny"/>
    <w:next w:val="Normalny"/>
    <w:link w:val="Nagwek8Znak"/>
    <w:qFormat/>
    <w:rsid w:val="000B085B"/>
    <w:pPr>
      <w:tabs>
        <w:tab w:val="left" w:pos="7371"/>
        <w:tab w:val="left" w:pos="8505"/>
        <w:tab w:val="left" w:pos="13608"/>
      </w:tabs>
      <w:spacing w:before="120" w:after="60" w:line="360" w:lineRule="auto"/>
      <w:ind w:left="1134"/>
      <w:outlineLvl w:val="7"/>
    </w:pPr>
    <w:rPr>
      <w:rFonts w:ascii="Times New Roman" w:hAnsi="Times New Roman"/>
      <w:b/>
      <w:bCs/>
      <w:kern w:val="16"/>
      <w:sz w:val="24"/>
      <w:szCs w:val="24"/>
      <w:lang w:eastAsia="pl-PL"/>
    </w:rPr>
  </w:style>
  <w:style w:type="paragraph" w:styleId="Nagwek9">
    <w:name w:val="heading 9"/>
    <w:basedOn w:val="Normalny"/>
    <w:next w:val="Normalny"/>
    <w:link w:val="Nagwek9Znak"/>
    <w:qFormat/>
    <w:rsid w:val="000B085B"/>
    <w:pPr>
      <w:tabs>
        <w:tab w:val="left" w:pos="7371"/>
        <w:tab w:val="left" w:pos="8505"/>
        <w:tab w:val="left" w:pos="13608"/>
      </w:tabs>
      <w:spacing w:before="40" w:after="0" w:line="360" w:lineRule="auto"/>
      <w:ind w:left="1134"/>
      <w:outlineLvl w:val="8"/>
    </w:pPr>
    <w:rPr>
      <w:rFonts w:ascii="Times New Roman" w:hAnsi="Times New Roman"/>
      <w:kern w:val="16"/>
      <w:sz w:val="24"/>
      <w:szCs w:val="24"/>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opic Heading 1 Znak,H1 Znak,h1 Znak,L1 Znak,Level 1 Znak,Heading 1 Char Znak"/>
    <w:link w:val="Nagwek1"/>
    <w:rsid w:val="002B3E90"/>
    <w:rPr>
      <w:rFonts w:ascii="Calibri Light" w:eastAsia="Times New Roman" w:hAnsi="Calibri Light"/>
      <w:b/>
      <w:bCs/>
      <w:caps/>
      <w:color w:val="FFFFFF"/>
      <w:spacing w:val="15"/>
      <w:sz w:val="28"/>
      <w:szCs w:val="28"/>
      <w:shd w:val="clear" w:color="auto" w:fill="002457" w:themeFill="accent1"/>
      <w:lang w:eastAsia="en-US"/>
    </w:rPr>
  </w:style>
  <w:style w:type="character" w:customStyle="1" w:styleId="Nagwek2Znak">
    <w:name w:val="Nagłówek 2 Znak"/>
    <w:aliases w:val="Topic Heading Znak,sh Znak,Section heading Znak,sh2 Znak,sh3 Znak,sh4 Znak,sh5 Znak,sh6 Znak,sh7 Znak,sh1 Znak,sh8 Znak,sh9 Znak,sh10 Znak,sh11 Znak,sh12 Znak,sh13 Znak,sh14 Znak,sh15 Znak,sh16 Znak,sh17 Znak,sh18 Znak,sh19 Znak"/>
    <w:link w:val="Nagwek2"/>
    <w:rsid w:val="00747B7B"/>
    <w:rPr>
      <w:rFonts w:ascii="Calibri Light" w:eastAsia="Times New Roman" w:hAnsi="Calibri Light"/>
      <w:b/>
      <w:caps/>
      <w:color w:val="FFFFFF"/>
      <w:spacing w:val="15"/>
      <w:sz w:val="26"/>
      <w:szCs w:val="26"/>
      <w:shd w:val="clear" w:color="auto" w:fill="002457"/>
      <w:lang w:eastAsia="en-US"/>
    </w:rPr>
  </w:style>
  <w:style w:type="character" w:customStyle="1" w:styleId="Nagwek3Znak">
    <w:name w:val="Nagłówek 3 Znak"/>
    <w:aliases w:val="H3-Heading 3 Znak,3 Znak,l3.3 Znak,h3 Znak,l3 Znak,list 3 Znak,Naglówek 3 Znak,Topic Sub Heading Znak,H3 Znak,L3 Znak,Heading 3. Znak"/>
    <w:link w:val="Nagwek3"/>
    <w:uiPriority w:val="9"/>
    <w:rsid w:val="005017A2"/>
    <w:rPr>
      <w:rFonts w:asciiTheme="minorHAnsi" w:eastAsia="Times New Roman" w:hAnsiTheme="minorHAnsi"/>
      <w:b/>
      <w:caps/>
      <w:color w:val="323E4F"/>
      <w:spacing w:val="15"/>
      <w:sz w:val="24"/>
      <w:szCs w:val="24"/>
      <w:lang w:eastAsia="en-US"/>
    </w:rPr>
  </w:style>
  <w:style w:type="character" w:customStyle="1" w:styleId="Nagwek4Znak">
    <w:name w:val="Nagłówek 4 Znak"/>
    <w:link w:val="Nagwek4"/>
    <w:uiPriority w:val="9"/>
    <w:rsid w:val="003F2B72"/>
    <w:rPr>
      <w:rFonts w:eastAsia="Times New Roman"/>
      <w:caps/>
      <w:color w:val="323E4F"/>
      <w:spacing w:val="10"/>
      <w:sz w:val="22"/>
      <w:szCs w:val="22"/>
      <w:lang w:eastAsia="en-US"/>
    </w:rPr>
  </w:style>
  <w:style w:type="character" w:customStyle="1" w:styleId="Nagwek5Znak">
    <w:name w:val="Nagłówek 5 Znak"/>
    <w:link w:val="Nagwek5"/>
    <w:uiPriority w:val="9"/>
    <w:rsid w:val="00BA4AFD"/>
    <w:rPr>
      <w:rFonts w:ascii="Calibri Light" w:eastAsia="Times New Roman" w:hAnsi="Calibri Light"/>
      <w:b/>
      <w:caps/>
      <w:color w:val="323E4F"/>
      <w:spacing w:val="15"/>
      <w:sz w:val="20"/>
      <w:szCs w:val="24"/>
    </w:rPr>
  </w:style>
  <w:style w:type="paragraph" w:styleId="Akapitzlist">
    <w:name w:val="List Paragraph"/>
    <w:aliases w:val="Table of contents numbered,Tytuły tabel i wykresów,maz_wyliczenie,opis dzialania,K-P_odwolanie,A_wyliczenie,Akapit z listą5CxSpLast,Akapit z listą 1,Akapit z listą5,Numerowanie,BulletC,Wyliczanie,Obiekt,normalny tekst"/>
    <w:basedOn w:val="Normalny"/>
    <w:link w:val="AkapitzlistZnak"/>
    <w:uiPriority w:val="34"/>
    <w:qFormat/>
    <w:rsid w:val="00BA4AFD"/>
    <w:pPr>
      <w:ind w:left="720"/>
      <w:contextualSpacing/>
    </w:pPr>
  </w:style>
  <w:style w:type="table" w:styleId="Tabela-Siatka">
    <w:name w:val="Table Grid"/>
    <w:aliases w:val="TabelEcorys"/>
    <w:basedOn w:val="Standardowy"/>
    <w:uiPriority w:val="39"/>
    <w:rsid w:val="00BA4AFD"/>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rzypisudolnego">
    <w:name w:val="footnote text"/>
    <w:aliases w:val="Podrozdział,Footnote,Podrozdzia3,Tekst przypisu Znak Znak Znak Znak,Tekst przypisu Znak Znak Znak Znak Znak,Tekst przypisu Znak Znak Znak Znak Znak Znak Znak,Tekst przypisu Znak Znak Znak Znak Znak Znak Znak Znak Zn,Fußnote,fn,o,f"/>
    <w:basedOn w:val="Normalny"/>
    <w:link w:val="TekstprzypisudolnegoZnak"/>
    <w:uiPriority w:val="99"/>
    <w:unhideWhenUsed/>
    <w:qFormat/>
    <w:rsid w:val="00BA4AFD"/>
    <w:pPr>
      <w:spacing w:after="0"/>
    </w:pPr>
  </w:style>
  <w:style w:type="character" w:customStyle="1" w:styleId="TekstprzypisudolnegoZnak">
    <w:name w:val="Tekst przypisu dolnego Znak"/>
    <w:aliases w:val="Podrozdział Znak,Footnote Znak,Podrozdzia3 Znak,Tekst przypisu Znak Znak Znak Znak Znak1,Tekst przypisu Znak Znak Znak Znak Znak Znak,Tekst przypisu Znak Znak Znak Znak Znak Znak Znak Znak,Fußnote Znak,fn Znak,o Znak,f Znak"/>
    <w:link w:val="Tekstprzypisudolnego"/>
    <w:uiPriority w:val="99"/>
    <w:rsid w:val="00BA4AFD"/>
    <w:rPr>
      <w:rFonts w:eastAsia="Times New Roman"/>
      <w:sz w:val="20"/>
      <w:szCs w:val="20"/>
      <w:lang w:val="en-US"/>
    </w:rPr>
  </w:style>
  <w:style w:type="character" w:styleId="Odwoanieprzypisudolnego">
    <w:name w:val="footnote reference"/>
    <w:aliases w:val="Footnote Reference Number,Footnote symbol,Footnote reference number,note TESI,SUPERS,EN Footnote Reference,Odwołanie przypisu,Footnote number,Ref,de nota al pie,Odwo3anie przypisu,Times 10 Point,Exposant 3 Point,number,16 Poi"/>
    <w:uiPriority w:val="99"/>
    <w:unhideWhenUsed/>
    <w:rsid w:val="00BA4AFD"/>
    <w:rPr>
      <w:vertAlign w:val="superscript"/>
    </w:rPr>
  </w:style>
  <w:style w:type="paragraph" w:styleId="Bezodstpw">
    <w:name w:val="No Spacing"/>
    <w:basedOn w:val="Normalny"/>
    <w:link w:val="BezodstpwZnak"/>
    <w:uiPriority w:val="1"/>
    <w:qFormat/>
    <w:rsid w:val="00BA4AFD"/>
    <w:pPr>
      <w:spacing w:after="0"/>
    </w:pPr>
  </w:style>
  <w:style w:type="character" w:customStyle="1" w:styleId="BezodstpwZnak">
    <w:name w:val="Bez odstępów Znak"/>
    <w:link w:val="Bezodstpw"/>
    <w:uiPriority w:val="1"/>
    <w:rsid w:val="00BA4AFD"/>
    <w:rPr>
      <w:rFonts w:eastAsia="Times New Roman"/>
      <w:sz w:val="20"/>
      <w:szCs w:val="20"/>
      <w:lang w:val="en-US"/>
    </w:rPr>
  </w:style>
  <w:style w:type="paragraph" w:styleId="Nagwekspisutreci">
    <w:name w:val="TOC Heading"/>
    <w:basedOn w:val="Nagwek1"/>
    <w:next w:val="Normalny"/>
    <w:uiPriority w:val="39"/>
    <w:unhideWhenUsed/>
    <w:qFormat/>
    <w:rsid w:val="00BA4AFD"/>
    <w:pPr>
      <w:framePr w:wrap="around" w:vAnchor="text" w:hAnchor="text" w:y="1"/>
      <w:numPr>
        <w:numId w:val="0"/>
      </w:numPr>
      <w:pBdr>
        <w:top w:val="none" w:sz="0" w:space="0" w:color="auto"/>
        <w:left w:val="none" w:sz="0" w:space="0" w:color="auto"/>
        <w:bottom w:val="none" w:sz="0" w:space="0" w:color="auto"/>
        <w:right w:val="single" w:sz="36" w:space="4" w:color="002457"/>
      </w:pBdr>
      <w:shd w:val="clear" w:color="auto" w:fill="002457"/>
      <w:ind w:left="567" w:hanging="425"/>
      <w:outlineLvl w:val="9"/>
    </w:pPr>
    <w:rPr>
      <w:lang w:bidi="en-US"/>
    </w:rPr>
  </w:style>
  <w:style w:type="paragraph" w:styleId="Spistreci1">
    <w:name w:val="toc 1"/>
    <w:basedOn w:val="Normalny"/>
    <w:next w:val="Normalny"/>
    <w:autoRedefine/>
    <w:uiPriority w:val="39"/>
    <w:unhideWhenUsed/>
    <w:qFormat/>
    <w:rsid w:val="00E84412"/>
    <w:pPr>
      <w:tabs>
        <w:tab w:val="left" w:pos="440"/>
        <w:tab w:val="right" w:leader="dot" w:pos="9062"/>
      </w:tabs>
      <w:spacing w:after="100"/>
    </w:pPr>
    <w:rPr>
      <w:b/>
      <w:noProof/>
    </w:rPr>
  </w:style>
  <w:style w:type="paragraph" w:styleId="Spistreci2">
    <w:name w:val="toc 2"/>
    <w:basedOn w:val="Normalny"/>
    <w:next w:val="Normalny"/>
    <w:autoRedefine/>
    <w:uiPriority w:val="39"/>
    <w:unhideWhenUsed/>
    <w:rsid w:val="004D4A84"/>
    <w:pPr>
      <w:tabs>
        <w:tab w:val="left" w:pos="1134"/>
        <w:tab w:val="right" w:leader="dot" w:pos="9072"/>
      </w:tabs>
      <w:spacing w:after="100"/>
      <w:ind w:left="1134" w:hanging="708"/>
      <w:jc w:val="left"/>
    </w:pPr>
  </w:style>
  <w:style w:type="character" w:styleId="Hipercze">
    <w:name w:val="Hyperlink"/>
    <w:uiPriority w:val="99"/>
    <w:rsid w:val="00BA4AFD"/>
    <w:rPr>
      <w:color w:val="0563C1"/>
      <w:u w:val="single"/>
    </w:rPr>
  </w:style>
  <w:style w:type="paragraph" w:styleId="Nagwek">
    <w:name w:val="header"/>
    <w:basedOn w:val="Normalny"/>
    <w:link w:val="NagwekZnak"/>
    <w:uiPriority w:val="99"/>
    <w:unhideWhenUsed/>
    <w:rsid w:val="00BA4AFD"/>
    <w:pPr>
      <w:tabs>
        <w:tab w:val="center" w:pos="4536"/>
        <w:tab w:val="right" w:pos="9072"/>
      </w:tabs>
    </w:pPr>
  </w:style>
  <w:style w:type="character" w:customStyle="1" w:styleId="NagwekZnak">
    <w:name w:val="Nagłówek Znak"/>
    <w:link w:val="Nagwek"/>
    <w:uiPriority w:val="99"/>
    <w:rsid w:val="00BA4AFD"/>
    <w:rPr>
      <w:rFonts w:eastAsia="Times New Roman"/>
      <w:sz w:val="20"/>
      <w:szCs w:val="20"/>
      <w:lang w:val="en-US"/>
    </w:rPr>
  </w:style>
  <w:style w:type="paragraph" w:styleId="Stopka">
    <w:name w:val="footer"/>
    <w:basedOn w:val="Normalny"/>
    <w:link w:val="StopkaZnak"/>
    <w:uiPriority w:val="99"/>
    <w:unhideWhenUsed/>
    <w:rsid w:val="00BA4AFD"/>
    <w:pPr>
      <w:tabs>
        <w:tab w:val="center" w:pos="4536"/>
        <w:tab w:val="right" w:pos="9072"/>
      </w:tabs>
    </w:pPr>
  </w:style>
  <w:style w:type="character" w:customStyle="1" w:styleId="StopkaZnak">
    <w:name w:val="Stopka Znak"/>
    <w:link w:val="Stopka"/>
    <w:uiPriority w:val="99"/>
    <w:rsid w:val="00BA4AFD"/>
    <w:rPr>
      <w:rFonts w:eastAsia="Times New Roman"/>
      <w:sz w:val="20"/>
      <w:szCs w:val="20"/>
      <w:lang w:val="en-US"/>
    </w:rPr>
  </w:style>
  <w:style w:type="character" w:styleId="Wyrnienieintensywne">
    <w:name w:val="Intense Emphasis"/>
    <w:uiPriority w:val="21"/>
    <w:qFormat/>
    <w:rsid w:val="00BA4AFD"/>
    <w:rPr>
      <w:b/>
      <w:i/>
      <w:color w:val="44546A"/>
      <w:lang w:val="pl-PL"/>
    </w:rPr>
  </w:style>
  <w:style w:type="table" w:customStyle="1" w:styleId="Siatkatabelijasna1">
    <w:name w:val="Siatka tabeli — jasna1"/>
    <w:basedOn w:val="Standardowy"/>
    <w:uiPriority w:val="40"/>
    <w:rsid w:val="00BA4AFD"/>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Default">
    <w:name w:val="Default"/>
    <w:rsid w:val="00BA4AFD"/>
    <w:pPr>
      <w:autoSpaceDE w:val="0"/>
      <w:autoSpaceDN w:val="0"/>
      <w:adjustRightInd w:val="0"/>
    </w:pPr>
    <w:rPr>
      <w:rFonts w:ascii="Arial" w:hAnsi="Arial" w:cs="Arial"/>
      <w:color w:val="000000"/>
      <w:sz w:val="24"/>
      <w:szCs w:val="24"/>
      <w:lang w:eastAsia="en-US"/>
    </w:rPr>
  </w:style>
  <w:style w:type="paragraph" w:styleId="NormalnyWeb">
    <w:name w:val="Normal (Web)"/>
    <w:basedOn w:val="Normalny"/>
    <w:uiPriority w:val="99"/>
    <w:unhideWhenUsed/>
    <w:rsid w:val="00BA4AFD"/>
    <w:pPr>
      <w:spacing w:before="100" w:beforeAutospacing="1" w:after="100" w:afterAutospacing="1"/>
    </w:pPr>
    <w:rPr>
      <w:rFonts w:ascii="Times New Roman" w:hAnsi="Times New Roman"/>
      <w:sz w:val="24"/>
      <w:szCs w:val="24"/>
      <w:lang w:eastAsia="pl-PL"/>
    </w:rPr>
  </w:style>
  <w:style w:type="paragraph" w:customStyle="1" w:styleId="Styl2">
    <w:name w:val="Styl2"/>
    <w:basedOn w:val="Nagwek1"/>
    <w:next w:val="Normalny"/>
    <w:qFormat/>
    <w:rsid w:val="00BA4AFD"/>
  </w:style>
  <w:style w:type="table" w:customStyle="1" w:styleId="Tabelasiatki5ciemnaakcent11">
    <w:name w:val="Tabela siatki 5 — ciemna — akcent 11"/>
    <w:basedOn w:val="Standardowy"/>
    <w:uiPriority w:val="50"/>
    <w:rsid w:val="00BA4AFD"/>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paragraph" w:customStyle="1" w:styleId="Subject">
    <w:name w:val="Subject"/>
    <w:basedOn w:val="Normalny"/>
    <w:next w:val="Normalny"/>
    <w:rsid w:val="00BA4AFD"/>
    <w:pPr>
      <w:spacing w:after="480"/>
      <w:ind w:left="1531" w:hanging="1531"/>
      <w:jc w:val="left"/>
    </w:pPr>
    <w:rPr>
      <w:rFonts w:ascii="Times New Roman" w:hAnsi="Times New Roman"/>
      <w:b/>
      <w:sz w:val="24"/>
      <w:lang w:val="en-GB"/>
    </w:rPr>
  </w:style>
  <w:style w:type="paragraph" w:customStyle="1" w:styleId="rdo">
    <w:name w:val="Źródło"/>
    <w:basedOn w:val="Normalny"/>
    <w:link w:val="rdoZnak"/>
    <w:autoRedefine/>
    <w:qFormat/>
    <w:rsid w:val="00CA08F1"/>
    <w:pPr>
      <w:spacing w:after="120"/>
      <w:jc w:val="center"/>
    </w:pPr>
    <w:rPr>
      <w:rFonts w:asciiTheme="minorHAnsi" w:eastAsia="Calibri" w:hAnsiTheme="minorHAnsi"/>
      <w:i/>
      <w:noProof/>
      <w:sz w:val="18"/>
      <w:lang w:eastAsia="pl-PL"/>
    </w:rPr>
  </w:style>
  <w:style w:type="character" w:customStyle="1" w:styleId="rdoZnak">
    <w:name w:val="Źródło Znak"/>
    <w:link w:val="rdo"/>
    <w:rsid w:val="00CA08F1"/>
    <w:rPr>
      <w:rFonts w:asciiTheme="minorHAnsi" w:hAnsiTheme="minorHAnsi"/>
      <w:i/>
      <w:noProof/>
      <w:sz w:val="18"/>
      <w:lang w:val="en-US"/>
    </w:rPr>
  </w:style>
  <w:style w:type="table" w:customStyle="1" w:styleId="Tabelasiatki4akcent31">
    <w:name w:val="Tabela siatki 4 — akcent 31"/>
    <w:basedOn w:val="Standardowy"/>
    <w:uiPriority w:val="49"/>
    <w:rsid w:val="00BA4AFD"/>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character" w:customStyle="1" w:styleId="Nagwek6Znak">
    <w:name w:val="Nagłówek 6 Znak"/>
    <w:basedOn w:val="Domylnaczcionkaakapitu"/>
    <w:link w:val="Nagwek6"/>
    <w:uiPriority w:val="9"/>
    <w:rsid w:val="006E468E"/>
    <w:rPr>
      <w:rFonts w:asciiTheme="majorHAnsi" w:eastAsiaTheme="majorEastAsia" w:hAnsiTheme="majorHAnsi" w:cstheme="majorBidi"/>
      <w:color w:val="00112B" w:themeColor="accent1" w:themeShade="7F"/>
      <w:lang w:val="en-US" w:eastAsia="en-US"/>
    </w:rPr>
  </w:style>
  <w:style w:type="character" w:styleId="Odwoaniedokomentarza">
    <w:name w:val="annotation reference"/>
    <w:basedOn w:val="Domylnaczcionkaakapitu"/>
    <w:uiPriority w:val="99"/>
    <w:unhideWhenUsed/>
    <w:rsid w:val="00AE51A6"/>
    <w:rPr>
      <w:sz w:val="16"/>
      <w:szCs w:val="16"/>
    </w:rPr>
  </w:style>
  <w:style w:type="paragraph" w:styleId="Tekstkomentarza">
    <w:name w:val="annotation text"/>
    <w:basedOn w:val="Normalny"/>
    <w:link w:val="TekstkomentarzaZnak"/>
    <w:uiPriority w:val="99"/>
    <w:unhideWhenUsed/>
    <w:rsid w:val="00AE51A6"/>
  </w:style>
  <w:style w:type="character" w:customStyle="1" w:styleId="TekstkomentarzaZnak">
    <w:name w:val="Tekst komentarza Znak"/>
    <w:basedOn w:val="Domylnaczcionkaakapitu"/>
    <w:link w:val="Tekstkomentarza"/>
    <w:uiPriority w:val="99"/>
    <w:rsid w:val="00AE51A6"/>
    <w:rPr>
      <w:rFonts w:eastAsia="Times New Roman"/>
      <w:lang w:val="en-US" w:eastAsia="en-US"/>
    </w:rPr>
  </w:style>
  <w:style w:type="paragraph" w:styleId="Tematkomentarza">
    <w:name w:val="annotation subject"/>
    <w:basedOn w:val="Tekstkomentarza"/>
    <w:next w:val="Tekstkomentarza"/>
    <w:link w:val="TematkomentarzaZnak"/>
    <w:uiPriority w:val="99"/>
    <w:semiHidden/>
    <w:unhideWhenUsed/>
    <w:rsid w:val="00AE51A6"/>
    <w:rPr>
      <w:b/>
      <w:bCs/>
    </w:rPr>
  </w:style>
  <w:style w:type="character" w:customStyle="1" w:styleId="TematkomentarzaZnak">
    <w:name w:val="Temat komentarza Znak"/>
    <w:basedOn w:val="TekstkomentarzaZnak"/>
    <w:link w:val="Tematkomentarza"/>
    <w:uiPriority w:val="99"/>
    <w:semiHidden/>
    <w:rsid w:val="00AE51A6"/>
    <w:rPr>
      <w:rFonts w:eastAsia="Times New Roman"/>
      <w:b/>
      <w:bCs/>
      <w:lang w:val="en-US" w:eastAsia="en-US"/>
    </w:rPr>
  </w:style>
  <w:style w:type="paragraph" w:styleId="Tekstdymka">
    <w:name w:val="Balloon Text"/>
    <w:basedOn w:val="Normalny"/>
    <w:link w:val="TekstdymkaZnak"/>
    <w:uiPriority w:val="99"/>
    <w:semiHidden/>
    <w:unhideWhenUsed/>
    <w:rsid w:val="00AE51A6"/>
    <w:pPr>
      <w:spacing w:after="0"/>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AE51A6"/>
    <w:rPr>
      <w:rFonts w:ascii="Segoe UI" w:eastAsia="Times New Roman" w:hAnsi="Segoe UI" w:cs="Segoe UI"/>
      <w:sz w:val="18"/>
      <w:szCs w:val="18"/>
      <w:lang w:val="en-US" w:eastAsia="en-US"/>
    </w:rPr>
  </w:style>
  <w:style w:type="paragraph" w:customStyle="1" w:styleId="Atrescrozdzialow">
    <w:name w:val="A_tresc_rozdzialow"/>
    <w:basedOn w:val="Normalny"/>
    <w:rsid w:val="00321FA3"/>
    <w:pPr>
      <w:spacing w:after="0"/>
      <w:ind w:firstLine="397"/>
    </w:pPr>
    <w:rPr>
      <w:rFonts w:ascii="Times New Roman" w:hAnsi="Times New Roman"/>
      <w:szCs w:val="24"/>
      <w:lang w:eastAsia="pl-PL"/>
    </w:rPr>
  </w:style>
  <w:style w:type="paragraph" w:customStyle="1" w:styleId="Aliteratura">
    <w:name w:val="A_literatura"/>
    <w:basedOn w:val="Normalny"/>
    <w:rsid w:val="00321FA3"/>
    <w:pPr>
      <w:spacing w:after="0"/>
      <w:ind w:left="397" w:hanging="397"/>
      <w:jc w:val="left"/>
    </w:pPr>
    <w:rPr>
      <w:rFonts w:ascii="Times New Roman" w:hAnsi="Times New Roman"/>
      <w:sz w:val="16"/>
      <w:szCs w:val="24"/>
      <w:lang w:eastAsia="pl-PL"/>
    </w:rPr>
  </w:style>
  <w:style w:type="character" w:styleId="Odwoanieintensywne">
    <w:name w:val="Intense Reference"/>
    <w:uiPriority w:val="32"/>
    <w:qFormat/>
    <w:rsid w:val="00C576F6"/>
    <w:rPr>
      <w:b/>
      <w:bCs/>
      <w:i/>
      <w:iCs/>
      <w:caps/>
      <w:color w:val="002457" w:themeColor="accent1"/>
    </w:rPr>
  </w:style>
  <w:style w:type="character" w:customStyle="1" w:styleId="AkapitzlistZnak">
    <w:name w:val="Akapit z listą Znak"/>
    <w:aliases w:val="Table of contents numbered Znak,Tytuły tabel i wykresów Znak,maz_wyliczenie Znak,opis dzialania Znak,K-P_odwolanie Znak,A_wyliczenie Znak,Akapit z listą5CxSpLast Znak,Akapit z listą 1 Znak,Akapit z listą5 Znak,Numerowanie Znak"/>
    <w:link w:val="Akapitzlist"/>
    <w:uiPriority w:val="34"/>
    <w:qFormat/>
    <w:locked/>
    <w:rsid w:val="00C576F6"/>
    <w:rPr>
      <w:rFonts w:eastAsia="Times New Roman"/>
      <w:lang w:val="en-US" w:eastAsia="en-US"/>
    </w:rPr>
  </w:style>
  <w:style w:type="paragraph" w:customStyle="1" w:styleId="Styl1">
    <w:name w:val="Styl1"/>
    <w:basedOn w:val="Nagwek2"/>
    <w:link w:val="Styl1Znak"/>
    <w:qFormat/>
    <w:rsid w:val="00C576F6"/>
    <w:pPr>
      <w:pBdr>
        <w:top w:val="single" w:sz="36" w:space="1" w:color="F8981D" w:themeColor="accent2"/>
        <w:left w:val="single" w:sz="36" w:space="0" w:color="F8981D" w:themeColor="accent2"/>
        <w:bottom w:val="single" w:sz="36" w:space="1" w:color="F8981D" w:themeColor="accent2"/>
      </w:pBdr>
      <w:shd w:val="clear" w:color="auto" w:fill="F8981D" w:themeFill="accent2"/>
    </w:pPr>
  </w:style>
  <w:style w:type="character" w:customStyle="1" w:styleId="Styl1Znak">
    <w:name w:val="Styl1 Znak"/>
    <w:basedOn w:val="Nagwek2Znak"/>
    <w:link w:val="Styl1"/>
    <w:rsid w:val="00C576F6"/>
    <w:rPr>
      <w:rFonts w:ascii="Calibri Light" w:eastAsia="Times New Roman" w:hAnsi="Calibri Light"/>
      <w:b/>
      <w:caps/>
      <w:color w:val="FFFFFF"/>
      <w:spacing w:val="15"/>
      <w:sz w:val="26"/>
      <w:szCs w:val="26"/>
      <w:shd w:val="clear" w:color="auto" w:fill="F8981D" w:themeFill="accent2"/>
      <w:lang w:eastAsia="en-US"/>
    </w:rPr>
  </w:style>
  <w:style w:type="character" w:customStyle="1" w:styleId="Nagwek7Znak">
    <w:name w:val="Nagłówek 7 Znak"/>
    <w:basedOn w:val="Domylnaczcionkaakapitu"/>
    <w:link w:val="Nagwek7"/>
    <w:uiPriority w:val="9"/>
    <w:rsid w:val="009C61F6"/>
    <w:rPr>
      <w:rFonts w:asciiTheme="majorHAnsi" w:eastAsiaTheme="majorEastAsia" w:hAnsiTheme="majorHAnsi" w:cstheme="majorBidi"/>
      <w:i/>
      <w:iCs/>
      <w:color w:val="404040" w:themeColor="text1" w:themeTint="BF"/>
      <w:lang w:val="en-US" w:eastAsia="en-US"/>
    </w:rPr>
  </w:style>
  <w:style w:type="character" w:styleId="Pogrubienie">
    <w:name w:val="Strong"/>
    <w:basedOn w:val="Domylnaczcionkaakapitu"/>
    <w:uiPriority w:val="22"/>
    <w:qFormat/>
    <w:rsid w:val="00517026"/>
    <w:rPr>
      <w:b/>
      <w:bCs/>
    </w:rPr>
  </w:style>
  <w:style w:type="character" w:styleId="UyteHipercze">
    <w:name w:val="FollowedHyperlink"/>
    <w:basedOn w:val="Domylnaczcionkaakapitu"/>
    <w:uiPriority w:val="99"/>
    <w:semiHidden/>
    <w:unhideWhenUsed/>
    <w:rsid w:val="001C59FC"/>
    <w:rPr>
      <w:color w:val="F8981D" w:themeColor="followedHyperlink"/>
      <w:u w:val="single"/>
    </w:rPr>
  </w:style>
  <w:style w:type="paragraph" w:styleId="Tekstprzypisukocowego">
    <w:name w:val="endnote text"/>
    <w:basedOn w:val="Normalny"/>
    <w:link w:val="TekstprzypisukocowegoZnak"/>
    <w:uiPriority w:val="99"/>
    <w:semiHidden/>
    <w:unhideWhenUsed/>
    <w:rsid w:val="00FB101D"/>
    <w:pPr>
      <w:spacing w:after="0"/>
    </w:pPr>
  </w:style>
  <w:style w:type="character" w:customStyle="1" w:styleId="TekstprzypisukocowegoZnak">
    <w:name w:val="Tekst przypisu końcowego Znak"/>
    <w:basedOn w:val="Domylnaczcionkaakapitu"/>
    <w:link w:val="Tekstprzypisukocowego"/>
    <w:uiPriority w:val="99"/>
    <w:semiHidden/>
    <w:rsid w:val="00FB101D"/>
    <w:rPr>
      <w:rFonts w:eastAsia="Times New Roman"/>
      <w:lang w:val="en-US" w:eastAsia="en-US"/>
    </w:rPr>
  </w:style>
  <w:style w:type="character" w:styleId="Odwoanieprzypisukocowego">
    <w:name w:val="endnote reference"/>
    <w:basedOn w:val="Domylnaczcionkaakapitu"/>
    <w:uiPriority w:val="99"/>
    <w:semiHidden/>
    <w:unhideWhenUsed/>
    <w:rsid w:val="00FB101D"/>
    <w:rPr>
      <w:vertAlign w:val="superscript"/>
    </w:rPr>
  </w:style>
  <w:style w:type="paragraph" w:styleId="Tekstpodstawowy">
    <w:name w:val="Body Text"/>
    <w:basedOn w:val="Normalny"/>
    <w:link w:val="TekstpodstawowyZnak1"/>
    <w:rsid w:val="00861222"/>
    <w:pPr>
      <w:spacing w:after="0"/>
      <w:jc w:val="left"/>
    </w:pPr>
    <w:rPr>
      <w:rFonts w:ascii="Times New Roman" w:hAnsi="Times New Roman"/>
      <w:sz w:val="22"/>
      <w:lang w:eastAsia="pl-PL"/>
    </w:rPr>
  </w:style>
  <w:style w:type="character" w:customStyle="1" w:styleId="TekstpodstawowyZnak">
    <w:name w:val="Tekst podstawowy Znak"/>
    <w:basedOn w:val="Domylnaczcionkaakapitu"/>
    <w:uiPriority w:val="99"/>
    <w:semiHidden/>
    <w:rsid w:val="00861222"/>
    <w:rPr>
      <w:rFonts w:eastAsia="Times New Roman"/>
      <w:lang w:val="en-US" w:eastAsia="en-US"/>
    </w:rPr>
  </w:style>
  <w:style w:type="paragraph" w:styleId="Tekstpodstawowy2">
    <w:name w:val="Body Text 2"/>
    <w:basedOn w:val="Normalny"/>
    <w:link w:val="Tekstpodstawowy2Znak"/>
    <w:rsid w:val="00861222"/>
    <w:pPr>
      <w:spacing w:after="120" w:line="480" w:lineRule="auto"/>
      <w:jc w:val="left"/>
    </w:pPr>
    <w:rPr>
      <w:rFonts w:ascii="Times New Roman" w:hAnsi="Times New Roman"/>
      <w:sz w:val="24"/>
      <w:szCs w:val="24"/>
      <w:lang w:eastAsia="pl-PL"/>
    </w:rPr>
  </w:style>
  <w:style w:type="character" w:customStyle="1" w:styleId="Tekstpodstawowy2Znak">
    <w:name w:val="Tekst podstawowy 2 Znak"/>
    <w:basedOn w:val="Domylnaczcionkaakapitu"/>
    <w:link w:val="Tekstpodstawowy2"/>
    <w:rsid w:val="00861222"/>
    <w:rPr>
      <w:rFonts w:ascii="Times New Roman" w:eastAsia="Times New Roman" w:hAnsi="Times New Roman"/>
      <w:sz w:val="24"/>
      <w:szCs w:val="24"/>
    </w:rPr>
  </w:style>
  <w:style w:type="character" w:customStyle="1" w:styleId="TekstpodstawowyZnak1">
    <w:name w:val="Tekst podstawowy Znak1"/>
    <w:link w:val="Tekstpodstawowy"/>
    <w:locked/>
    <w:rsid w:val="00861222"/>
    <w:rPr>
      <w:rFonts w:ascii="Times New Roman" w:eastAsia="Times New Roman" w:hAnsi="Times New Roman"/>
      <w:sz w:val="22"/>
    </w:rPr>
  </w:style>
  <w:style w:type="paragraph" w:styleId="Cytat">
    <w:name w:val="Quote"/>
    <w:basedOn w:val="Normalny"/>
    <w:next w:val="Normalny"/>
    <w:link w:val="CytatZnak"/>
    <w:uiPriority w:val="29"/>
    <w:qFormat/>
    <w:rsid w:val="00CF324B"/>
    <w:rPr>
      <w:rFonts w:asciiTheme="minorHAnsi" w:eastAsiaTheme="minorEastAsia" w:hAnsiTheme="minorHAnsi" w:cstheme="minorBidi"/>
      <w:i/>
      <w:iCs/>
    </w:rPr>
  </w:style>
  <w:style w:type="character" w:customStyle="1" w:styleId="CytatZnak">
    <w:name w:val="Cytat Znak"/>
    <w:basedOn w:val="Domylnaczcionkaakapitu"/>
    <w:link w:val="Cytat"/>
    <w:uiPriority w:val="29"/>
    <w:rsid w:val="00CF324B"/>
    <w:rPr>
      <w:rFonts w:asciiTheme="minorHAnsi" w:eastAsiaTheme="minorEastAsia" w:hAnsiTheme="minorHAnsi" w:cstheme="minorBidi"/>
      <w:i/>
      <w:iCs/>
      <w:lang w:val="en-US" w:eastAsia="en-US"/>
    </w:rPr>
  </w:style>
  <w:style w:type="table" w:styleId="Jasnalistaakcent3">
    <w:name w:val="Light List Accent 3"/>
    <w:basedOn w:val="Standardowy"/>
    <w:uiPriority w:val="61"/>
    <w:rsid w:val="00CF324B"/>
    <w:tblPr>
      <w:tblStyleRowBandSize w:val="1"/>
      <w:tblStyleColBandSize w:val="1"/>
      <w:tblBorders>
        <w:top w:val="single" w:sz="8" w:space="0" w:color="00B288" w:themeColor="accent3"/>
        <w:left w:val="single" w:sz="8" w:space="0" w:color="00B288" w:themeColor="accent3"/>
        <w:bottom w:val="single" w:sz="8" w:space="0" w:color="00B288" w:themeColor="accent3"/>
        <w:right w:val="single" w:sz="8" w:space="0" w:color="00B288" w:themeColor="accent3"/>
      </w:tblBorders>
    </w:tblPr>
    <w:tblStylePr w:type="firstRow">
      <w:pPr>
        <w:spacing w:before="0" w:after="0" w:line="240" w:lineRule="auto"/>
      </w:pPr>
      <w:rPr>
        <w:b/>
        <w:bCs/>
        <w:color w:val="FFFFFF" w:themeColor="background1"/>
      </w:rPr>
      <w:tblPr/>
      <w:tcPr>
        <w:shd w:val="clear" w:color="auto" w:fill="00B288" w:themeFill="accent3"/>
      </w:tcPr>
    </w:tblStylePr>
    <w:tblStylePr w:type="lastRow">
      <w:pPr>
        <w:spacing w:before="0" w:after="0" w:line="240" w:lineRule="auto"/>
      </w:pPr>
      <w:rPr>
        <w:b/>
        <w:bCs/>
      </w:rPr>
      <w:tblPr/>
      <w:tcPr>
        <w:tcBorders>
          <w:top w:val="double" w:sz="6" w:space="0" w:color="00B288" w:themeColor="accent3"/>
          <w:left w:val="single" w:sz="8" w:space="0" w:color="00B288" w:themeColor="accent3"/>
          <w:bottom w:val="single" w:sz="8" w:space="0" w:color="00B288" w:themeColor="accent3"/>
          <w:right w:val="single" w:sz="8" w:space="0" w:color="00B288" w:themeColor="accent3"/>
        </w:tcBorders>
      </w:tcPr>
    </w:tblStylePr>
    <w:tblStylePr w:type="firstCol">
      <w:rPr>
        <w:b/>
        <w:bCs/>
      </w:rPr>
    </w:tblStylePr>
    <w:tblStylePr w:type="lastCol">
      <w:rPr>
        <w:b/>
        <w:bCs/>
      </w:rPr>
    </w:tblStylePr>
    <w:tblStylePr w:type="band1Vert">
      <w:tblPr/>
      <w:tcPr>
        <w:tcBorders>
          <w:top w:val="single" w:sz="8" w:space="0" w:color="00B288" w:themeColor="accent3"/>
          <w:left w:val="single" w:sz="8" w:space="0" w:color="00B288" w:themeColor="accent3"/>
          <w:bottom w:val="single" w:sz="8" w:space="0" w:color="00B288" w:themeColor="accent3"/>
          <w:right w:val="single" w:sz="8" w:space="0" w:color="00B288" w:themeColor="accent3"/>
        </w:tcBorders>
      </w:tcPr>
    </w:tblStylePr>
    <w:tblStylePr w:type="band1Horz">
      <w:tblPr/>
      <w:tcPr>
        <w:tcBorders>
          <w:top w:val="single" w:sz="8" w:space="0" w:color="00B288" w:themeColor="accent3"/>
          <w:left w:val="single" w:sz="8" w:space="0" w:color="00B288" w:themeColor="accent3"/>
          <w:bottom w:val="single" w:sz="8" w:space="0" w:color="00B288" w:themeColor="accent3"/>
          <w:right w:val="single" w:sz="8" w:space="0" w:color="00B288" w:themeColor="accent3"/>
        </w:tcBorders>
      </w:tcPr>
    </w:tblStylePr>
  </w:style>
  <w:style w:type="paragraph" w:styleId="Legenda">
    <w:name w:val="caption"/>
    <w:basedOn w:val="Normalny"/>
    <w:next w:val="Normalny"/>
    <w:link w:val="LegendaZnak"/>
    <w:autoRedefine/>
    <w:uiPriority w:val="35"/>
    <w:unhideWhenUsed/>
    <w:qFormat/>
    <w:rsid w:val="00785460"/>
    <w:pPr>
      <w:keepNext/>
      <w:spacing w:before="240" w:after="0"/>
      <w:jc w:val="left"/>
    </w:pPr>
    <w:rPr>
      <w:rFonts w:ascii="Arial" w:eastAsiaTheme="minorEastAsia" w:hAnsi="Arial" w:cs="Arial"/>
      <w:b/>
      <w:i/>
      <w:color w:val="001A41" w:themeColor="accent1" w:themeShade="BF"/>
    </w:rPr>
  </w:style>
  <w:style w:type="table" w:customStyle="1" w:styleId="WISE-1">
    <w:name w:val="WISE-1"/>
    <w:basedOn w:val="Standardowy"/>
    <w:uiPriority w:val="99"/>
    <w:rsid w:val="00CF324B"/>
    <w:rPr>
      <w:rFonts w:asciiTheme="minorHAnsi" w:eastAsiaTheme="minorHAnsi" w:hAnsiTheme="minorHAnsi" w:cstheme="minorBidi"/>
      <w:sz w:val="22"/>
      <w:szCs w:val="22"/>
      <w:lang w:val="en-GB" w:eastAsia="en-US"/>
    </w:rPr>
    <w:tblPr>
      <w:tblBorders>
        <w:top w:val="single" w:sz="4" w:space="0" w:color="7B7E82" w:themeColor="text2"/>
        <w:left w:val="single" w:sz="4" w:space="0" w:color="7B7E82" w:themeColor="text2"/>
        <w:bottom w:val="single" w:sz="4" w:space="0" w:color="7B7E82" w:themeColor="text2"/>
        <w:right w:val="single" w:sz="4" w:space="0" w:color="7B7E82" w:themeColor="text2"/>
        <w:insideH w:val="single" w:sz="4" w:space="0" w:color="7B7E82" w:themeColor="text2"/>
        <w:insideV w:val="single" w:sz="4" w:space="0" w:color="7B7E82" w:themeColor="text2"/>
      </w:tblBorders>
    </w:tblPr>
    <w:tblStylePr w:type="firstRow">
      <w:rPr>
        <w:rFonts w:asciiTheme="minorHAnsi" w:hAnsiTheme="minorHAnsi" w:hint="default"/>
        <w:b/>
        <w:spacing w:val="0"/>
        <w:kern w:val="0"/>
        <w:position w:val="0"/>
      </w:rPr>
      <w:tblPr/>
      <w:tcPr>
        <w:tcBorders>
          <w:bottom w:val="single" w:sz="12" w:space="0" w:color="7B7E82" w:themeColor="text2"/>
        </w:tcBorders>
        <w:shd w:val="clear" w:color="auto" w:fill="EFF2F5"/>
      </w:tcPr>
    </w:tblStylePr>
    <w:tblStylePr w:type="firstCol">
      <w:rPr>
        <w:b/>
        <w:i w:val="0"/>
        <w:strike w:val="0"/>
        <w:dstrike w:val="0"/>
        <w:u w:val="none"/>
        <w:effect w:val="none"/>
      </w:rPr>
      <w:tblPr/>
      <w:tcPr>
        <w:shd w:val="clear" w:color="auto" w:fill="FAFBFC"/>
      </w:tcPr>
    </w:tblStylePr>
  </w:style>
  <w:style w:type="table" w:customStyle="1" w:styleId="Jasnalistaakcent31">
    <w:name w:val="Jasna lista — akcent 31"/>
    <w:basedOn w:val="Standardowy"/>
    <w:uiPriority w:val="61"/>
    <w:rsid w:val="00CF324B"/>
    <w:rPr>
      <w:lang w:val="en-GB"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elasiatki5ciemnaakcent31">
    <w:name w:val="Tabela siatki 5 — ciemna — akcent 31"/>
    <w:basedOn w:val="Standardowy"/>
    <w:uiPriority w:val="50"/>
    <w:rsid w:val="00CF324B"/>
    <w:rPr>
      <w:rFonts w:asciiTheme="minorHAnsi" w:eastAsiaTheme="minorHAnsi" w:hAnsiTheme="minorHAnsi" w:cstheme="minorBidi"/>
      <w:sz w:val="22"/>
      <w:szCs w:val="22"/>
      <w:lang w:val="en-GB"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CFFEF"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B288"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B288"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B288"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B288" w:themeFill="accent3"/>
      </w:tcPr>
    </w:tblStylePr>
    <w:tblStylePr w:type="band1Vert">
      <w:tblPr/>
      <w:tcPr>
        <w:shd w:val="clear" w:color="auto" w:fill="7AFFDF" w:themeFill="accent3" w:themeFillTint="66"/>
      </w:tcPr>
    </w:tblStylePr>
    <w:tblStylePr w:type="band1Horz">
      <w:tblPr/>
      <w:tcPr>
        <w:shd w:val="clear" w:color="auto" w:fill="7AFFDF" w:themeFill="accent3" w:themeFillTint="66"/>
      </w:tcPr>
    </w:tblStylePr>
  </w:style>
  <w:style w:type="paragraph" w:styleId="Bibliografia">
    <w:name w:val="Bibliography"/>
    <w:basedOn w:val="Normalny"/>
    <w:next w:val="Normalny"/>
    <w:uiPriority w:val="37"/>
    <w:unhideWhenUsed/>
    <w:rsid w:val="00CF324B"/>
    <w:pPr>
      <w:spacing w:after="0"/>
      <w:ind w:left="720" w:hanging="720"/>
    </w:pPr>
  </w:style>
  <w:style w:type="character" w:styleId="Uwydatnienie">
    <w:name w:val="Emphasis"/>
    <w:basedOn w:val="Domylnaczcionkaakapitu"/>
    <w:uiPriority w:val="20"/>
    <w:qFormat/>
    <w:rsid w:val="00CF324B"/>
    <w:rPr>
      <w:i/>
      <w:iCs/>
    </w:rPr>
  </w:style>
  <w:style w:type="table" w:customStyle="1" w:styleId="Tabelasiatki5ciemnaakcent32">
    <w:name w:val="Tabela siatki 5 — ciemna — akcent 32"/>
    <w:basedOn w:val="Standardowy"/>
    <w:uiPriority w:val="50"/>
    <w:rsid w:val="00CF324B"/>
    <w:rPr>
      <w:rFonts w:asciiTheme="minorHAnsi" w:eastAsiaTheme="minorHAnsi" w:hAnsiTheme="minorHAnsi" w:cstheme="minorBidi"/>
      <w:sz w:val="22"/>
      <w:szCs w:val="22"/>
      <w:lang w:val="en-GB"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CFFEF"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B288"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B288"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B288"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B288" w:themeFill="accent3"/>
      </w:tcPr>
    </w:tblStylePr>
    <w:tblStylePr w:type="band1Vert">
      <w:tblPr/>
      <w:tcPr>
        <w:shd w:val="clear" w:color="auto" w:fill="7AFFDF" w:themeFill="accent3" w:themeFillTint="66"/>
      </w:tcPr>
    </w:tblStylePr>
    <w:tblStylePr w:type="band1Horz">
      <w:tblPr/>
      <w:tcPr>
        <w:shd w:val="clear" w:color="auto" w:fill="7AFFDF" w:themeFill="accent3" w:themeFillTint="66"/>
      </w:tcPr>
    </w:tblStylePr>
  </w:style>
  <w:style w:type="table" w:customStyle="1" w:styleId="Tabelasiatki5ciemnaakcent21">
    <w:name w:val="Tabela siatki 5 — ciemna — akcent 21"/>
    <w:basedOn w:val="Standardowy"/>
    <w:uiPriority w:val="50"/>
    <w:rsid w:val="00CF324B"/>
    <w:rPr>
      <w:rFonts w:asciiTheme="minorHAnsi" w:eastAsiaTheme="minorHAnsi" w:hAnsiTheme="minorHAnsi" w:cstheme="minorBidi"/>
      <w:sz w:val="22"/>
      <w:szCs w:val="22"/>
      <w:lang w:val="en-GB"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AD1"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8981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8981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8981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8981D" w:themeFill="accent2"/>
      </w:tcPr>
    </w:tblStylePr>
    <w:tblStylePr w:type="band1Vert">
      <w:tblPr/>
      <w:tcPr>
        <w:shd w:val="clear" w:color="auto" w:fill="FCD5A4" w:themeFill="accent2" w:themeFillTint="66"/>
      </w:tcPr>
    </w:tblStylePr>
    <w:tblStylePr w:type="band1Horz">
      <w:tblPr/>
      <w:tcPr>
        <w:shd w:val="clear" w:color="auto" w:fill="FCD5A4" w:themeFill="accent2" w:themeFillTint="66"/>
      </w:tcPr>
    </w:tblStylePr>
  </w:style>
  <w:style w:type="paragraph" w:styleId="Poprawka">
    <w:name w:val="Revision"/>
    <w:hidden/>
    <w:uiPriority w:val="99"/>
    <w:semiHidden/>
    <w:rsid w:val="00CF324B"/>
    <w:rPr>
      <w:rFonts w:eastAsia="Times New Roman"/>
      <w:lang w:val="en-US" w:eastAsia="en-US"/>
    </w:rPr>
  </w:style>
  <w:style w:type="table" w:customStyle="1" w:styleId="Tabelasiatki5ciemnaakcent51">
    <w:name w:val="Tabela siatki 5 — ciemna — akcent 51"/>
    <w:basedOn w:val="Standardowy"/>
    <w:uiPriority w:val="50"/>
    <w:rsid w:val="00CF324B"/>
    <w:rPr>
      <w:rFonts w:asciiTheme="minorHAnsi" w:eastAsiaTheme="minorHAnsi" w:hAnsiTheme="minorHAnsi" w:cstheme="minorBidi"/>
      <w:sz w:val="22"/>
      <w:szCs w:val="22"/>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4F3FF"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AED8"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AED8"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AED8"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AED8" w:themeFill="accent5"/>
      </w:tcPr>
    </w:tblStylePr>
    <w:tblStylePr w:type="band1Vert">
      <w:tblPr/>
      <w:tcPr>
        <w:shd w:val="clear" w:color="auto" w:fill="89E7FF" w:themeFill="accent5" w:themeFillTint="66"/>
      </w:tcPr>
    </w:tblStylePr>
    <w:tblStylePr w:type="band1Horz">
      <w:tblPr/>
      <w:tcPr>
        <w:shd w:val="clear" w:color="auto" w:fill="89E7FF" w:themeFill="accent5" w:themeFillTint="66"/>
      </w:tcPr>
    </w:tblStylePr>
  </w:style>
  <w:style w:type="character" w:styleId="Tytuksiki">
    <w:name w:val="Book Title"/>
    <w:basedOn w:val="Domylnaczcionkaakapitu"/>
    <w:uiPriority w:val="33"/>
    <w:qFormat/>
    <w:rsid w:val="00CF324B"/>
    <w:rPr>
      <w:b/>
      <w:bCs/>
      <w:i/>
      <w:iCs/>
      <w:spacing w:val="5"/>
    </w:rPr>
  </w:style>
  <w:style w:type="character" w:customStyle="1" w:styleId="LegendaZnak">
    <w:name w:val="Legenda Znak"/>
    <w:basedOn w:val="Domylnaczcionkaakapitu"/>
    <w:link w:val="Legenda"/>
    <w:uiPriority w:val="35"/>
    <w:locked/>
    <w:rsid w:val="00785460"/>
    <w:rPr>
      <w:rFonts w:ascii="Arial" w:eastAsiaTheme="minorEastAsia" w:hAnsi="Arial" w:cs="Arial"/>
      <w:b/>
      <w:i/>
      <w:color w:val="001A41" w:themeColor="accent1" w:themeShade="BF"/>
      <w:lang w:eastAsia="en-US"/>
    </w:rPr>
  </w:style>
  <w:style w:type="paragraph" w:customStyle="1" w:styleId="zrodlo">
    <w:name w:val="zrodlo"/>
    <w:basedOn w:val="Normalny"/>
    <w:qFormat/>
    <w:rsid w:val="00715F07"/>
    <w:pPr>
      <w:jc w:val="center"/>
    </w:pPr>
    <w:rPr>
      <w:rFonts w:asciiTheme="minorHAnsi" w:eastAsiaTheme="minorEastAsia" w:hAnsiTheme="minorHAnsi" w:cstheme="minorBidi"/>
      <w:i/>
      <w:sz w:val="16"/>
    </w:rPr>
  </w:style>
  <w:style w:type="character" w:customStyle="1" w:styleId="Nagwek8Znak">
    <w:name w:val="Nagłówek 8 Znak"/>
    <w:basedOn w:val="Domylnaczcionkaakapitu"/>
    <w:link w:val="Nagwek8"/>
    <w:rsid w:val="000B085B"/>
    <w:rPr>
      <w:rFonts w:ascii="Times New Roman" w:eastAsia="Times New Roman" w:hAnsi="Times New Roman"/>
      <w:b/>
      <w:bCs/>
      <w:kern w:val="16"/>
      <w:sz w:val="24"/>
      <w:szCs w:val="24"/>
    </w:rPr>
  </w:style>
  <w:style w:type="character" w:customStyle="1" w:styleId="Nagwek9Znak">
    <w:name w:val="Nagłówek 9 Znak"/>
    <w:basedOn w:val="Domylnaczcionkaakapitu"/>
    <w:link w:val="Nagwek9"/>
    <w:rsid w:val="000B085B"/>
    <w:rPr>
      <w:rFonts w:ascii="Times New Roman" w:eastAsia="Times New Roman" w:hAnsi="Times New Roman"/>
      <w:kern w:val="16"/>
      <w:sz w:val="24"/>
      <w:szCs w:val="24"/>
    </w:rPr>
  </w:style>
  <w:style w:type="paragraph" w:styleId="Tytu">
    <w:name w:val="Title"/>
    <w:basedOn w:val="Normalny"/>
    <w:link w:val="TytuZnak"/>
    <w:uiPriority w:val="10"/>
    <w:qFormat/>
    <w:rsid w:val="000B085B"/>
    <w:pPr>
      <w:tabs>
        <w:tab w:val="left" w:pos="8505"/>
        <w:tab w:val="left" w:pos="13608"/>
      </w:tabs>
      <w:spacing w:before="240" w:after="60" w:line="360" w:lineRule="auto"/>
      <w:ind w:firstLine="425"/>
      <w:jc w:val="center"/>
    </w:pPr>
    <w:rPr>
      <w:rFonts w:ascii="Times New Roman" w:hAnsi="Times New Roman"/>
      <w:b/>
      <w:bCs/>
      <w:kern w:val="28"/>
      <w:sz w:val="36"/>
      <w:szCs w:val="36"/>
      <w:lang w:eastAsia="pl-PL"/>
    </w:rPr>
  </w:style>
  <w:style w:type="character" w:customStyle="1" w:styleId="TytuZnak">
    <w:name w:val="Tytuł Znak"/>
    <w:basedOn w:val="Domylnaczcionkaakapitu"/>
    <w:link w:val="Tytu"/>
    <w:uiPriority w:val="10"/>
    <w:rsid w:val="000B085B"/>
    <w:rPr>
      <w:rFonts w:ascii="Times New Roman" w:eastAsia="Times New Roman" w:hAnsi="Times New Roman"/>
      <w:b/>
      <w:bCs/>
      <w:kern w:val="28"/>
      <w:sz w:val="36"/>
      <w:szCs w:val="36"/>
    </w:rPr>
  </w:style>
  <w:style w:type="character" w:styleId="Wyrnieniedelikatne">
    <w:name w:val="Subtle Emphasis"/>
    <w:basedOn w:val="Domylnaczcionkaakapitu"/>
    <w:uiPriority w:val="19"/>
    <w:qFormat/>
    <w:rsid w:val="003F618D"/>
    <w:rPr>
      <w:i/>
      <w:iCs/>
      <w:color w:val="404040" w:themeColor="text1" w:themeTint="BF"/>
    </w:rPr>
  </w:style>
  <w:style w:type="paragraph" w:styleId="Zwykytekst">
    <w:name w:val="Plain Text"/>
    <w:basedOn w:val="Normalny"/>
    <w:link w:val="ZwykytekstZnak"/>
    <w:uiPriority w:val="99"/>
    <w:unhideWhenUsed/>
    <w:rsid w:val="00182CD3"/>
    <w:pPr>
      <w:spacing w:after="0"/>
      <w:jc w:val="left"/>
    </w:pPr>
    <w:rPr>
      <w:rFonts w:eastAsiaTheme="minorHAnsi" w:cstheme="minorBidi"/>
      <w:sz w:val="22"/>
      <w:szCs w:val="21"/>
    </w:rPr>
  </w:style>
  <w:style w:type="character" w:customStyle="1" w:styleId="ZwykytekstZnak">
    <w:name w:val="Zwykły tekst Znak"/>
    <w:basedOn w:val="Domylnaczcionkaakapitu"/>
    <w:link w:val="Zwykytekst"/>
    <w:uiPriority w:val="99"/>
    <w:rsid w:val="00182CD3"/>
    <w:rPr>
      <w:rFonts w:eastAsiaTheme="minorHAnsi" w:cstheme="minorBidi"/>
      <w:sz w:val="22"/>
      <w:szCs w:val="21"/>
      <w:lang w:eastAsia="en-US"/>
    </w:rPr>
  </w:style>
  <w:style w:type="character" w:customStyle="1" w:styleId="apple-converted-space">
    <w:name w:val="apple-converted-space"/>
    <w:basedOn w:val="Domylnaczcionkaakapitu"/>
    <w:rsid w:val="000D1008"/>
  </w:style>
  <w:style w:type="character" w:customStyle="1" w:styleId="Znakiprzypiswdolnych">
    <w:name w:val="Znaki przypisów dolnych"/>
    <w:rsid w:val="00D91A73"/>
    <w:rPr>
      <w:vertAlign w:val="superscript"/>
    </w:rPr>
  </w:style>
  <w:style w:type="paragraph" w:customStyle="1" w:styleId="Tekstpodstawowy1">
    <w:name w:val="Tekst podstawowy1"/>
    <w:autoRedefine/>
    <w:rsid w:val="00D91A73"/>
    <w:pPr>
      <w:spacing w:before="200" w:after="200" w:line="276" w:lineRule="auto"/>
      <w:jc w:val="both"/>
    </w:pPr>
    <w:rPr>
      <w:rFonts w:ascii="Lucida Grande" w:eastAsia="ヒラギノ角ゴ Pro W3" w:hAnsi="Lucida Grande"/>
      <w:color w:val="000000"/>
    </w:rPr>
  </w:style>
  <w:style w:type="table" w:customStyle="1" w:styleId="redniasiatka3akcent11">
    <w:name w:val="Średnia siatka 3 — akcent 11"/>
    <w:uiPriority w:val="99"/>
    <w:rsid w:val="00D91A73"/>
    <w:rPr>
      <w:rFonts w:eastAsia="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style>
  <w:style w:type="table" w:styleId="Jasnasiatkaakcent2">
    <w:name w:val="Light Grid Accent 2"/>
    <w:basedOn w:val="Standardowy"/>
    <w:uiPriority w:val="62"/>
    <w:rsid w:val="00D91A73"/>
    <w:tblPr>
      <w:tblStyleRowBandSize w:val="1"/>
      <w:tblStyleColBandSize w:val="1"/>
      <w:tblBorders>
        <w:top w:val="single" w:sz="8" w:space="0" w:color="F8981D" w:themeColor="accent2"/>
        <w:left w:val="single" w:sz="8" w:space="0" w:color="F8981D" w:themeColor="accent2"/>
        <w:bottom w:val="single" w:sz="8" w:space="0" w:color="F8981D" w:themeColor="accent2"/>
        <w:right w:val="single" w:sz="8" w:space="0" w:color="F8981D" w:themeColor="accent2"/>
        <w:insideH w:val="single" w:sz="8" w:space="0" w:color="F8981D" w:themeColor="accent2"/>
        <w:insideV w:val="single" w:sz="8" w:space="0" w:color="F8981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8981D" w:themeColor="accent2"/>
          <w:left w:val="single" w:sz="8" w:space="0" w:color="F8981D" w:themeColor="accent2"/>
          <w:bottom w:val="single" w:sz="18" w:space="0" w:color="F8981D" w:themeColor="accent2"/>
          <w:right w:val="single" w:sz="8" w:space="0" w:color="F8981D" w:themeColor="accent2"/>
          <w:insideH w:val="nil"/>
          <w:insideV w:val="single" w:sz="8" w:space="0" w:color="F8981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8981D" w:themeColor="accent2"/>
          <w:left w:val="single" w:sz="8" w:space="0" w:color="F8981D" w:themeColor="accent2"/>
          <w:bottom w:val="single" w:sz="8" w:space="0" w:color="F8981D" w:themeColor="accent2"/>
          <w:right w:val="single" w:sz="8" w:space="0" w:color="F8981D" w:themeColor="accent2"/>
          <w:insideH w:val="nil"/>
          <w:insideV w:val="single" w:sz="8" w:space="0" w:color="F8981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8981D" w:themeColor="accent2"/>
          <w:left w:val="single" w:sz="8" w:space="0" w:color="F8981D" w:themeColor="accent2"/>
          <w:bottom w:val="single" w:sz="8" w:space="0" w:color="F8981D" w:themeColor="accent2"/>
          <w:right w:val="single" w:sz="8" w:space="0" w:color="F8981D" w:themeColor="accent2"/>
        </w:tcBorders>
      </w:tcPr>
    </w:tblStylePr>
    <w:tblStylePr w:type="band1Vert">
      <w:tblPr/>
      <w:tcPr>
        <w:tcBorders>
          <w:top w:val="single" w:sz="8" w:space="0" w:color="F8981D" w:themeColor="accent2"/>
          <w:left w:val="single" w:sz="8" w:space="0" w:color="F8981D" w:themeColor="accent2"/>
          <w:bottom w:val="single" w:sz="8" w:space="0" w:color="F8981D" w:themeColor="accent2"/>
          <w:right w:val="single" w:sz="8" w:space="0" w:color="F8981D" w:themeColor="accent2"/>
        </w:tcBorders>
        <w:shd w:val="clear" w:color="auto" w:fill="FDE5C7" w:themeFill="accent2" w:themeFillTint="3F"/>
      </w:tcPr>
    </w:tblStylePr>
    <w:tblStylePr w:type="band1Horz">
      <w:tblPr/>
      <w:tcPr>
        <w:tcBorders>
          <w:top w:val="single" w:sz="8" w:space="0" w:color="F8981D" w:themeColor="accent2"/>
          <w:left w:val="single" w:sz="8" w:space="0" w:color="F8981D" w:themeColor="accent2"/>
          <w:bottom w:val="single" w:sz="8" w:space="0" w:color="F8981D" w:themeColor="accent2"/>
          <w:right w:val="single" w:sz="8" w:space="0" w:color="F8981D" w:themeColor="accent2"/>
          <w:insideV w:val="single" w:sz="8" w:space="0" w:color="F8981D" w:themeColor="accent2"/>
        </w:tcBorders>
        <w:shd w:val="clear" w:color="auto" w:fill="FDE5C7" w:themeFill="accent2" w:themeFillTint="3F"/>
      </w:tcPr>
    </w:tblStylePr>
    <w:tblStylePr w:type="band2Horz">
      <w:tblPr/>
      <w:tcPr>
        <w:tcBorders>
          <w:top w:val="single" w:sz="8" w:space="0" w:color="F8981D" w:themeColor="accent2"/>
          <w:left w:val="single" w:sz="8" w:space="0" w:color="F8981D" w:themeColor="accent2"/>
          <w:bottom w:val="single" w:sz="8" w:space="0" w:color="F8981D" w:themeColor="accent2"/>
          <w:right w:val="single" w:sz="8" w:space="0" w:color="F8981D" w:themeColor="accent2"/>
          <w:insideV w:val="single" w:sz="8" w:space="0" w:color="F8981D" w:themeColor="accent2"/>
        </w:tcBorders>
      </w:tcPr>
    </w:tblStylePr>
  </w:style>
  <w:style w:type="table" w:customStyle="1" w:styleId="Tabelasiatki4akcent21">
    <w:name w:val="Tabela siatki 4 — akcent 21"/>
    <w:basedOn w:val="Standardowy"/>
    <w:uiPriority w:val="49"/>
    <w:rsid w:val="00D91A73"/>
    <w:tblPr>
      <w:tblStyleRowBandSize w:val="1"/>
      <w:tblStyleColBandSize w:val="1"/>
      <w:tblBorders>
        <w:top w:val="single" w:sz="4" w:space="0" w:color="FAC177" w:themeColor="accent2" w:themeTint="99"/>
        <w:left w:val="single" w:sz="4" w:space="0" w:color="FAC177" w:themeColor="accent2" w:themeTint="99"/>
        <w:bottom w:val="single" w:sz="4" w:space="0" w:color="FAC177" w:themeColor="accent2" w:themeTint="99"/>
        <w:right w:val="single" w:sz="4" w:space="0" w:color="FAC177" w:themeColor="accent2" w:themeTint="99"/>
        <w:insideH w:val="single" w:sz="4" w:space="0" w:color="FAC177" w:themeColor="accent2" w:themeTint="99"/>
        <w:insideV w:val="single" w:sz="4" w:space="0" w:color="FAC177" w:themeColor="accent2" w:themeTint="99"/>
      </w:tblBorders>
    </w:tblPr>
    <w:tblStylePr w:type="firstRow">
      <w:rPr>
        <w:b/>
        <w:bCs/>
        <w:color w:val="FFFFFF" w:themeColor="background1"/>
      </w:rPr>
      <w:tblPr/>
      <w:tcPr>
        <w:tcBorders>
          <w:top w:val="single" w:sz="4" w:space="0" w:color="F8981D" w:themeColor="accent2"/>
          <w:left w:val="single" w:sz="4" w:space="0" w:color="F8981D" w:themeColor="accent2"/>
          <w:bottom w:val="single" w:sz="4" w:space="0" w:color="F8981D" w:themeColor="accent2"/>
          <w:right w:val="single" w:sz="4" w:space="0" w:color="F8981D" w:themeColor="accent2"/>
          <w:insideH w:val="nil"/>
          <w:insideV w:val="nil"/>
        </w:tcBorders>
        <w:shd w:val="clear" w:color="auto" w:fill="F8981D" w:themeFill="accent2"/>
      </w:tcPr>
    </w:tblStylePr>
    <w:tblStylePr w:type="lastRow">
      <w:rPr>
        <w:b/>
        <w:bCs/>
      </w:rPr>
      <w:tblPr/>
      <w:tcPr>
        <w:tcBorders>
          <w:top w:val="double" w:sz="4" w:space="0" w:color="F8981D" w:themeColor="accent2"/>
        </w:tcBorders>
      </w:tcPr>
    </w:tblStylePr>
    <w:tblStylePr w:type="firstCol">
      <w:rPr>
        <w:b/>
        <w:bCs/>
      </w:rPr>
    </w:tblStylePr>
    <w:tblStylePr w:type="lastCol">
      <w:rPr>
        <w:b/>
        <w:bCs/>
      </w:rPr>
    </w:tblStylePr>
    <w:tblStylePr w:type="band1Vert">
      <w:tblPr/>
      <w:tcPr>
        <w:shd w:val="clear" w:color="auto" w:fill="FDEAD1" w:themeFill="accent2" w:themeFillTint="33"/>
      </w:tcPr>
    </w:tblStylePr>
    <w:tblStylePr w:type="band1Horz">
      <w:tblPr/>
      <w:tcPr>
        <w:shd w:val="clear" w:color="auto" w:fill="FDEAD1" w:themeFill="accent2" w:themeFillTint="33"/>
      </w:tcPr>
    </w:tblStylePr>
  </w:style>
  <w:style w:type="table" w:customStyle="1" w:styleId="Tabelalisty4akcent21">
    <w:name w:val="Tabela listy 4 — akcent 21"/>
    <w:basedOn w:val="Standardowy"/>
    <w:uiPriority w:val="49"/>
    <w:rsid w:val="00D91A73"/>
    <w:tblPr>
      <w:tblStyleRowBandSize w:val="1"/>
      <w:tblStyleColBandSize w:val="1"/>
      <w:tblBorders>
        <w:top w:val="single" w:sz="4" w:space="0" w:color="FAC177" w:themeColor="accent2" w:themeTint="99"/>
        <w:left w:val="single" w:sz="4" w:space="0" w:color="FAC177" w:themeColor="accent2" w:themeTint="99"/>
        <w:bottom w:val="single" w:sz="4" w:space="0" w:color="FAC177" w:themeColor="accent2" w:themeTint="99"/>
        <w:right w:val="single" w:sz="4" w:space="0" w:color="FAC177" w:themeColor="accent2" w:themeTint="99"/>
        <w:insideH w:val="single" w:sz="4" w:space="0" w:color="FAC177" w:themeColor="accent2" w:themeTint="99"/>
      </w:tblBorders>
    </w:tblPr>
    <w:tblStylePr w:type="firstRow">
      <w:rPr>
        <w:b/>
        <w:bCs/>
        <w:color w:val="FFFFFF" w:themeColor="background1"/>
      </w:rPr>
      <w:tblPr/>
      <w:tcPr>
        <w:tcBorders>
          <w:top w:val="single" w:sz="4" w:space="0" w:color="F8981D" w:themeColor="accent2"/>
          <w:left w:val="single" w:sz="4" w:space="0" w:color="F8981D" w:themeColor="accent2"/>
          <w:bottom w:val="single" w:sz="4" w:space="0" w:color="F8981D" w:themeColor="accent2"/>
          <w:right w:val="single" w:sz="4" w:space="0" w:color="F8981D" w:themeColor="accent2"/>
          <w:insideH w:val="nil"/>
        </w:tcBorders>
        <w:shd w:val="clear" w:color="auto" w:fill="F8981D" w:themeFill="accent2"/>
      </w:tcPr>
    </w:tblStylePr>
    <w:tblStylePr w:type="lastRow">
      <w:rPr>
        <w:b/>
        <w:bCs/>
      </w:rPr>
      <w:tblPr/>
      <w:tcPr>
        <w:tcBorders>
          <w:top w:val="double" w:sz="4" w:space="0" w:color="FAC177" w:themeColor="accent2" w:themeTint="99"/>
        </w:tcBorders>
      </w:tcPr>
    </w:tblStylePr>
    <w:tblStylePr w:type="firstCol">
      <w:rPr>
        <w:b/>
        <w:bCs/>
      </w:rPr>
    </w:tblStylePr>
    <w:tblStylePr w:type="lastCol">
      <w:rPr>
        <w:b/>
        <w:bCs/>
      </w:rPr>
    </w:tblStylePr>
    <w:tblStylePr w:type="band1Vert">
      <w:tblPr/>
      <w:tcPr>
        <w:shd w:val="clear" w:color="auto" w:fill="FDEAD1" w:themeFill="accent2" w:themeFillTint="33"/>
      </w:tcPr>
    </w:tblStylePr>
    <w:tblStylePr w:type="band1Horz">
      <w:tblPr/>
      <w:tcPr>
        <w:shd w:val="clear" w:color="auto" w:fill="FDEAD1" w:themeFill="accent2" w:themeFillTint="33"/>
      </w:tcPr>
    </w:tblStylePr>
  </w:style>
  <w:style w:type="table" w:customStyle="1" w:styleId="Tabelalisty4akcent211">
    <w:name w:val="Tabela listy 4 — akcent 211"/>
    <w:basedOn w:val="Standardowy"/>
    <w:uiPriority w:val="49"/>
    <w:rsid w:val="002C093A"/>
    <w:rPr>
      <w:rFonts w:asciiTheme="minorHAnsi" w:eastAsiaTheme="minorHAnsi" w:hAnsiTheme="minorHAnsi" w:cstheme="minorBidi"/>
      <w:sz w:val="22"/>
      <w:szCs w:val="22"/>
      <w:lang w:eastAsia="en-US"/>
    </w:rPr>
    <w:tblPr>
      <w:tblStyleRowBandSize w:val="1"/>
      <w:tblStyleColBandSize w:val="1"/>
      <w:tblBorders>
        <w:top w:val="single" w:sz="4" w:space="0" w:color="FAC177" w:themeColor="accent2" w:themeTint="99"/>
        <w:left w:val="single" w:sz="4" w:space="0" w:color="FAC177" w:themeColor="accent2" w:themeTint="99"/>
        <w:bottom w:val="single" w:sz="4" w:space="0" w:color="FAC177" w:themeColor="accent2" w:themeTint="99"/>
        <w:right w:val="single" w:sz="4" w:space="0" w:color="FAC177" w:themeColor="accent2" w:themeTint="99"/>
        <w:insideH w:val="single" w:sz="4" w:space="0" w:color="FAC177" w:themeColor="accent2" w:themeTint="99"/>
      </w:tblBorders>
    </w:tblPr>
    <w:tblStylePr w:type="firstRow">
      <w:rPr>
        <w:b/>
        <w:bCs/>
        <w:color w:val="FFFFFF" w:themeColor="background1"/>
      </w:rPr>
      <w:tblPr/>
      <w:tcPr>
        <w:tcBorders>
          <w:top w:val="single" w:sz="4" w:space="0" w:color="F8981D" w:themeColor="accent2"/>
          <w:left w:val="single" w:sz="4" w:space="0" w:color="F8981D" w:themeColor="accent2"/>
          <w:bottom w:val="single" w:sz="4" w:space="0" w:color="F8981D" w:themeColor="accent2"/>
          <w:right w:val="single" w:sz="4" w:space="0" w:color="F8981D" w:themeColor="accent2"/>
          <w:insideH w:val="nil"/>
        </w:tcBorders>
        <w:shd w:val="clear" w:color="auto" w:fill="F8981D" w:themeFill="accent2"/>
      </w:tcPr>
    </w:tblStylePr>
    <w:tblStylePr w:type="lastRow">
      <w:rPr>
        <w:b/>
        <w:bCs/>
      </w:rPr>
      <w:tblPr/>
      <w:tcPr>
        <w:tcBorders>
          <w:top w:val="double" w:sz="4" w:space="0" w:color="FAC177" w:themeColor="accent2" w:themeTint="99"/>
        </w:tcBorders>
      </w:tcPr>
    </w:tblStylePr>
    <w:tblStylePr w:type="firstCol">
      <w:rPr>
        <w:b/>
        <w:bCs/>
      </w:rPr>
    </w:tblStylePr>
    <w:tblStylePr w:type="lastCol">
      <w:rPr>
        <w:b/>
        <w:bCs/>
      </w:rPr>
    </w:tblStylePr>
    <w:tblStylePr w:type="band1Vert">
      <w:tblPr/>
      <w:tcPr>
        <w:shd w:val="clear" w:color="auto" w:fill="FDEAD1" w:themeFill="accent2" w:themeFillTint="33"/>
      </w:tcPr>
    </w:tblStylePr>
    <w:tblStylePr w:type="band1Horz">
      <w:tblPr/>
      <w:tcPr>
        <w:shd w:val="clear" w:color="auto" w:fill="FDEAD1" w:themeFill="accent2" w:themeFillTint="33"/>
      </w:tcPr>
    </w:tblStylePr>
  </w:style>
  <w:style w:type="table" w:customStyle="1" w:styleId="Tabelalisty4akcent22">
    <w:name w:val="Tabela listy 4 — akcent 22"/>
    <w:basedOn w:val="Standardowy"/>
    <w:uiPriority w:val="49"/>
    <w:rsid w:val="002C093A"/>
    <w:tblPr>
      <w:tblStyleRowBandSize w:val="1"/>
      <w:tblStyleColBandSize w:val="1"/>
      <w:tblBorders>
        <w:top w:val="single" w:sz="4" w:space="0" w:color="FAC177" w:themeColor="accent2" w:themeTint="99"/>
        <w:left w:val="single" w:sz="4" w:space="0" w:color="FAC177" w:themeColor="accent2" w:themeTint="99"/>
        <w:bottom w:val="single" w:sz="4" w:space="0" w:color="FAC177" w:themeColor="accent2" w:themeTint="99"/>
        <w:right w:val="single" w:sz="4" w:space="0" w:color="FAC177" w:themeColor="accent2" w:themeTint="99"/>
        <w:insideH w:val="single" w:sz="4" w:space="0" w:color="FAC177" w:themeColor="accent2" w:themeTint="99"/>
      </w:tblBorders>
    </w:tblPr>
    <w:tblStylePr w:type="firstRow">
      <w:rPr>
        <w:b/>
        <w:bCs/>
        <w:color w:val="FFFFFF" w:themeColor="background1"/>
      </w:rPr>
      <w:tblPr/>
      <w:tcPr>
        <w:tcBorders>
          <w:top w:val="single" w:sz="4" w:space="0" w:color="F8981D" w:themeColor="accent2"/>
          <w:left w:val="single" w:sz="4" w:space="0" w:color="F8981D" w:themeColor="accent2"/>
          <w:bottom w:val="single" w:sz="4" w:space="0" w:color="F8981D" w:themeColor="accent2"/>
          <w:right w:val="single" w:sz="4" w:space="0" w:color="F8981D" w:themeColor="accent2"/>
          <w:insideH w:val="nil"/>
        </w:tcBorders>
        <w:shd w:val="clear" w:color="auto" w:fill="F8981D" w:themeFill="accent2"/>
      </w:tcPr>
    </w:tblStylePr>
    <w:tblStylePr w:type="lastRow">
      <w:rPr>
        <w:b/>
        <w:bCs/>
      </w:rPr>
      <w:tblPr/>
      <w:tcPr>
        <w:tcBorders>
          <w:top w:val="double" w:sz="4" w:space="0" w:color="FAC177" w:themeColor="accent2" w:themeTint="99"/>
        </w:tcBorders>
      </w:tcPr>
    </w:tblStylePr>
    <w:tblStylePr w:type="firstCol">
      <w:rPr>
        <w:b/>
        <w:bCs/>
      </w:rPr>
    </w:tblStylePr>
    <w:tblStylePr w:type="lastCol">
      <w:rPr>
        <w:b/>
        <w:bCs/>
      </w:rPr>
    </w:tblStylePr>
    <w:tblStylePr w:type="band1Vert">
      <w:tblPr/>
      <w:tcPr>
        <w:shd w:val="clear" w:color="auto" w:fill="FDEAD1" w:themeFill="accent2" w:themeFillTint="33"/>
      </w:tcPr>
    </w:tblStylePr>
    <w:tblStylePr w:type="band1Horz">
      <w:tblPr/>
      <w:tcPr>
        <w:shd w:val="clear" w:color="auto" w:fill="FDEAD1" w:themeFill="accent2" w:themeFillTint="33"/>
      </w:tcPr>
    </w:tblStylePr>
  </w:style>
  <w:style w:type="table" w:customStyle="1" w:styleId="Zwykatabela11">
    <w:name w:val="Zwykła tabela 11"/>
    <w:basedOn w:val="Standardowy"/>
    <w:uiPriority w:val="41"/>
    <w:rsid w:val="002C093A"/>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StylRAport">
    <w:name w:val="Styl RAport"/>
    <w:basedOn w:val="Standardowy"/>
    <w:uiPriority w:val="99"/>
    <w:rsid w:val="002C093A"/>
    <w:tblPr/>
  </w:style>
  <w:style w:type="table" w:customStyle="1" w:styleId="Siatkatabelijasna2">
    <w:name w:val="Siatka tabeli — jasna2"/>
    <w:basedOn w:val="Standardowy"/>
    <w:uiPriority w:val="40"/>
    <w:rsid w:val="002C093A"/>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elasiatki5ciemnaakcent22">
    <w:name w:val="Tabela siatki 5 — ciemna — akcent 22"/>
    <w:basedOn w:val="Standardowy"/>
    <w:uiPriority w:val="50"/>
    <w:rsid w:val="002C093A"/>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AD1"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8981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8981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8981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8981D" w:themeFill="accent2"/>
      </w:tcPr>
    </w:tblStylePr>
    <w:tblStylePr w:type="band1Vert">
      <w:tblPr/>
      <w:tcPr>
        <w:shd w:val="clear" w:color="auto" w:fill="FCD5A4" w:themeFill="accent2" w:themeFillTint="66"/>
      </w:tcPr>
    </w:tblStylePr>
    <w:tblStylePr w:type="band1Horz">
      <w:tblPr/>
      <w:tcPr>
        <w:shd w:val="clear" w:color="auto" w:fill="FCD5A4" w:themeFill="accent2" w:themeFillTint="66"/>
      </w:tcPr>
    </w:tblStylePr>
  </w:style>
  <w:style w:type="table" w:customStyle="1" w:styleId="Tabelalisty3akcent21">
    <w:name w:val="Tabela listy 3 — akcent 21"/>
    <w:basedOn w:val="Standardowy"/>
    <w:uiPriority w:val="48"/>
    <w:rsid w:val="002C093A"/>
    <w:tblPr>
      <w:tblStyleRowBandSize w:val="1"/>
      <w:tblStyleColBandSize w:val="1"/>
      <w:tblBorders>
        <w:top w:val="single" w:sz="4" w:space="0" w:color="F8981D" w:themeColor="accent2"/>
        <w:left w:val="single" w:sz="4" w:space="0" w:color="F8981D" w:themeColor="accent2"/>
        <w:bottom w:val="single" w:sz="4" w:space="0" w:color="F8981D" w:themeColor="accent2"/>
        <w:right w:val="single" w:sz="4" w:space="0" w:color="F8981D" w:themeColor="accent2"/>
      </w:tblBorders>
    </w:tblPr>
    <w:tblStylePr w:type="firstRow">
      <w:rPr>
        <w:b/>
        <w:bCs/>
        <w:color w:val="FFFFFF" w:themeColor="background1"/>
      </w:rPr>
      <w:tblPr/>
      <w:tcPr>
        <w:shd w:val="clear" w:color="auto" w:fill="F8981D" w:themeFill="accent2"/>
      </w:tcPr>
    </w:tblStylePr>
    <w:tblStylePr w:type="lastRow">
      <w:rPr>
        <w:b/>
        <w:bCs/>
      </w:rPr>
      <w:tblPr/>
      <w:tcPr>
        <w:tcBorders>
          <w:top w:val="double" w:sz="4" w:space="0" w:color="F8981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8981D" w:themeColor="accent2"/>
          <w:right w:val="single" w:sz="4" w:space="0" w:color="F8981D" w:themeColor="accent2"/>
        </w:tcBorders>
      </w:tcPr>
    </w:tblStylePr>
    <w:tblStylePr w:type="band1Horz">
      <w:tblPr/>
      <w:tcPr>
        <w:tcBorders>
          <w:top w:val="single" w:sz="4" w:space="0" w:color="F8981D" w:themeColor="accent2"/>
          <w:bottom w:val="single" w:sz="4" w:space="0" w:color="F8981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8981D" w:themeColor="accent2"/>
          <w:left w:val="nil"/>
        </w:tcBorders>
      </w:tcPr>
    </w:tblStylePr>
    <w:tblStylePr w:type="swCell">
      <w:tblPr/>
      <w:tcPr>
        <w:tcBorders>
          <w:top w:val="double" w:sz="4" w:space="0" w:color="F8981D" w:themeColor="accent2"/>
          <w:right w:val="nil"/>
        </w:tcBorders>
      </w:tcPr>
    </w:tblStylePr>
  </w:style>
  <w:style w:type="table" w:customStyle="1" w:styleId="Tabelasiatki4akcent41">
    <w:name w:val="Tabela siatki 4 — akcent 41"/>
    <w:basedOn w:val="Standardowy"/>
    <w:uiPriority w:val="49"/>
    <w:rsid w:val="002C093A"/>
    <w:rPr>
      <w:sz w:val="18"/>
    </w:rPr>
    <w:tblPr>
      <w:tblStyleRowBandSize w:val="1"/>
      <w:tblStyleColBandSize w:val="1"/>
      <w:tblBorders>
        <w:top w:val="single" w:sz="4" w:space="0" w:color="FF7028" w:themeColor="accent4" w:themeTint="99"/>
        <w:left w:val="single" w:sz="4" w:space="0" w:color="FF7028" w:themeColor="accent4" w:themeTint="99"/>
        <w:bottom w:val="single" w:sz="4" w:space="0" w:color="FF7028" w:themeColor="accent4" w:themeTint="99"/>
        <w:right w:val="single" w:sz="4" w:space="0" w:color="FF7028" w:themeColor="accent4" w:themeTint="99"/>
        <w:insideH w:val="single" w:sz="4" w:space="0" w:color="FF7028" w:themeColor="accent4" w:themeTint="99"/>
        <w:insideV w:val="single" w:sz="4" w:space="0" w:color="FF7028" w:themeColor="accent4" w:themeTint="99"/>
      </w:tblBorders>
    </w:tblPr>
    <w:tblStylePr w:type="firstRow">
      <w:rPr>
        <w:b/>
        <w:bCs/>
        <w:color w:val="FFFFFF" w:themeColor="background1"/>
      </w:rPr>
      <w:tblPr/>
      <w:tcPr>
        <w:tcBorders>
          <w:top w:val="single" w:sz="4" w:space="0" w:color="993300" w:themeColor="accent4"/>
          <w:left w:val="single" w:sz="4" w:space="0" w:color="993300" w:themeColor="accent4"/>
          <w:bottom w:val="single" w:sz="4" w:space="0" w:color="993300" w:themeColor="accent4"/>
          <w:right w:val="single" w:sz="4" w:space="0" w:color="993300" w:themeColor="accent4"/>
          <w:insideH w:val="nil"/>
          <w:insideV w:val="nil"/>
        </w:tcBorders>
        <w:shd w:val="clear" w:color="auto" w:fill="993300" w:themeFill="accent4"/>
      </w:tcPr>
    </w:tblStylePr>
    <w:tblStylePr w:type="lastRow">
      <w:rPr>
        <w:b/>
        <w:bCs/>
      </w:rPr>
      <w:tblPr/>
      <w:tcPr>
        <w:tcBorders>
          <w:top w:val="double" w:sz="4" w:space="0" w:color="993300" w:themeColor="accent4"/>
        </w:tcBorders>
      </w:tcPr>
    </w:tblStylePr>
    <w:tblStylePr w:type="firstCol">
      <w:rPr>
        <w:b/>
        <w:bCs/>
      </w:rPr>
    </w:tblStylePr>
    <w:tblStylePr w:type="lastCol">
      <w:rPr>
        <w:b/>
        <w:bCs/>
      </w:rPr>
    </w:tblStylePr>
    <w:tblStylePr w:type="band1Vert">
      <w:tblPr/>
      <w:tcPr>
        <w:shd w:val="clear" w:color="auto" w:fill="FFCFB7" w:themeFill="accent4" w:themeFillTint="33"/>
      </w:tcPr>
    </w:tblStylePr>
    <w:tblStylePr w:type="band1Horz">
      <w:tblPr/>
      <w:tcPr>
        <w:shd w:val="clear" w:color="auto" w:fill="FFCFB7" w:themeFill="accent4" w:themeFillTint="33"/>
      </w:tcPr>
    </w:tblStylePr>
  </w:style>
  <w:style w:type="table" w:customStyle="1" w:styleId="Tabelasiatki1jasnaakcent41">
    <w:name w:val="Tabela siatki 1 — jasna — akcent 41"/>
    <w:basedOn w:val="Standardowy"/>
    <w:uiPriority w:val="46"/>
    <w:rsid w:val="002C093A"/>
    <w:tblPr>
      <w:tblStyleRowBandSize w:val="1"/>
      <w:tblStyleColBandSize w:val="1"/>
      <w:tblBorders>
        <w:top w:val="single" w:sz="4" w:space="0" w:color="FF9F70" w:themeColor="accent4" w:themeTint="66"/>
        <w:left w:val="single" w:sz="4" w:space="0" w:color="FF9F70" w:themeColor="accent4" w:themeTint="66"/>
        <w:bottom w:val="single" w:sz="4" w:space="0" w:color="FF9F70" w:themeColor="accent4" w:themeTint="66"/>
        <w:right w:val="single" w:sz="4" w:space="0" w:color="FF9F70" w:themeColor="accent4" w:themeTint="66"/>
        <w:insideH w:val="single" w:sz="4" w:space="0" w:color="FF9F70" w:themeColor="accent4" w:themeTint="66"/>
        <w:insideV w:val="single" w:sz="4" w:space="0" w:color="FF9F70" w:themeColor="accent4" w:themeTint="66"/>
      </w:tblBorders>
    </w:tblPr>
    <w:tblStylePr w:type="firstRow">
      <w:rPr>
        <w:b/>
        <w:bCs/>
      </w:rPr>
      <w:tblPr/>
      <w:tcPr>
        <w:tcBorders>
          <w:bottom w:val="single" w:sz="12" w:space="0" w:color="FF7028" w:themeColor="accent4" w:themeTint="99"/>
        </w:tcBorders>
      </w:tcPr>
    </w:tblStylePr>
    <w:tblStylePr w:type="lastRow">
      <w:rPr>
        <w:b/>
        <w:bCs/>
      </w:rPr>
      <w:tblPr/>
      <w:tcPr>
        <w:tcBorders>
          <w:top w:val="double" w:sz="2" w:space="0" w:color="FF7028" w:themeColor="accent4" w:themeTint="99"/>
        </w:tcBorders>
      </w:tcPr>
    </w:tblStylePr>
    <w:tblStylePr w:type="firstCol">
      <w:rPr>
        <w:b/>
        <w:bCs/>
      </w:rPr>
    </w:tblStylePr>
    <w:tblStylePr w:type="lastCol">
      <w:rPr>
        <w:b/>
        <w:bCs/>
      </w:rPr>
    </w:tblStylePr>
  </w:style>
  <w:style w:type="table" w:customStyle="1" w:styleId="Tabelasiatki2akcent41">
    <w:name w:val="Tabela siatki 2 — akcent 41"/>
    <w:basedOn w:val="Standardowy"/>
    <w:uiPriority w:val="47"/>
    <w:rsid w:val="002C093A"/>
    <w:tblPr>
      <w:tblStyleRowBandSize w:val="1"/>
      <w:tblStyleColBandSize w:val="1"/>
      <w:tblBorders>
        <w:top w:val="single" w:sz="2" w:space="0" w:color="FF7028" w:themeColor="accent4" w:themeTint="99"/>
        <w:bottom w:val="single" w:sz="2" w:space="0" w:color="FF7028" w:themeColor="accent4" w:themeTint="99"/>
        <w:insideH w:val="single" w:sz="2" w:space="0" w:color="FF7028" w:themeColor="accent4" w:themeTint="99"/>
        <w:insideV w:val="single" w:sz="2" w:space="0" w:color="FF7028" w:themeColor="accent4" w:themeTint="99"/>
      </w:tblBorders>
    </w:tblPr>
    <w:tblStylePr w:type="firstRow">
      <w:rPr>
        <w:b/>
        <w:bCs/>
      </w:rPr>
      <w:tblPr/>
      <w:tcPr>
        <w:tcBorders>
          <w:top w:val="nil"/>
          <w:bottom w:val="single" w:sz="12" w:space="0" w:color="FF7028" w:themeColor="accent4" w:themeTint="99"/>
          <w:insideH w:val="nil"/>
          <w:insideV w:val="nil"/>
        </w:tcBorders>
        <w:shd w:val="clear" w:color="auto" w:fill="FFFFFF" w:themeFill="background1"/>
      </w:tcPr>
    </w:tblStylePr>
    <w:tblStylePr w:type="lastRow">
      <w:rPr>
        <w:b/>
        <w:bCs/>
      </w:rPr>
      <w:tblPr/>
      <w:tcPr>
        <w:tcBorders>
          <w:top w:val="double" w:sz="2" w:space="0" w:color="FF7028"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CFB7" w:themeFill="accent4" w:themeFillTint="33"/>
      </w:tcPr>
    </w:tblStylePr>
    <w:tblStylePr w:type="band1Horz">
      <w:tblPr/>
      <w:tcPr>
        <w:shd w:val="clear" w:color="auto" w:fill="FFCFB7" w:themeFill="accent4" w:themeFillTint="33"/>
      </w:tcPr>
    </w:tblStylePr>
  </w:style>
  <w:style w:type="table" w:customStyle="1" w:styleId="Tabelalisty4akcent41">
    <w:name w:val="Tabela listy 4 — akcent 41"/>
    <w:basedOn w:val="Standardowy"/>
    <w:uiPriority w:val="49"/>
    <w:rsid w:val="002C093A"/>
    <w:tblPr>
      <w:tblStyleRowBandSize w:val="1"/>
      <w:tblStyleColBandSize w:val="1"/>
      <w:tblBorders>
        <w:top w:val="single" w:sz="4" w:space="0" w:color="FF7028" w:themeColor="accent4" w:themeTint="99"/>
        <w:left w:val="single" w:sz="4" w:space="0" w:color="FF7028" w:themeColor="accent4" w:themeTint="99"/>
        <w:bottom w:val="single" w:sz="4" w:space="0" w:color="FF7028" w:themeColor="accent4" w:themeTint="99"/>
        <w:right w:val="single" w:sz="4" w:space="0" w:color="FF7028" w:themeColor="accent4" w:themeTint="99"/>
        <w:insideH w:val="single" w:sz="4" w:space="0" w:color="FF7028" w:themeColor="accent4" w:themeTint="99"/>
      </w:tblBorders>
    </w:tblPr>
    <w:tblStylePr w:type="firstRow">
      <w:rPr>
        <w:b/>
        <w:bCs/>
        <w:color w:val="FFFFFF" w:themeColor="background1"/>
      </w:rPr>
      <w:tblPr/>
      <w:tcPr>
        <w:tcBorders>
          <w:top w:val="single" w:sz="4" w:space="0" w:color="993300" w:themeColor="accent4"/>
          <w:left w:val="single" w:sz="4" w:space="0" w:color="993300" w:themeColor="accent4"/>
          <w:bottom w:val="single" w:sz="4" w:space="0" w:color="993300" w:themeColor="accent4"/>
          <w:right w:val="single" w:sz="4" w:space="0" w:color="993300" w:themeColor="accent4"/>
          <w:insideH w:val="nil"/>
        </w:tcBorders>
        <w:shd w:val="clear" w:color="auto" w:fill="993300" w:themeFill="accent4"/>
      </w:tcPr>
    </w:tblStylePr>
    <w:tblStylePr w:type="lastRow">
      <w:rPr>
        <w:b/>
        <w:bCs/>
      </w:rPr>
      <w:tblPr/>
      <w:tcPr>
        <w:tcBorders>
          <w:top w:val="double" w:sz="4" w:space="0" w:color="FF7028" w:themeColor="accent4" w:themeTint="99"/>
        </w:tcBorders>
      </w:tcPr>
    </w:tblStylePr>
    <w:tblStylePr w:type="firstCol">
      <w:rPr>
        <w:b/>
        <w:bCs/>
      </w:rPr>
    </w:tblStylePr>
    <w:tblStylePr w:type="lastCol">
      <w:rPr>
        <w:b/>
        <w:bCs/>
      </w:rPr>
    </w:tblStylePr>
    <w:tblStylePr w:type="band1Vert">
      <w:tblPr/>
      <w:tcPr>
        <w:shd w:val="clear" w:color="auto" w:fill="FFCFB7" w:themeFill="accent4" w:themeFillTint="33"/>
      </w:tcPr>
    </w:tblStylePr>
    <w:tblStylePr w:type="band1Horz">
      <w:tblPr/>
      <w:tcPr>
        <w:shd w:val="clear" w:color="auto" w:fill="FFCFB7" w:themeFill="accent4" w:themeFillTint="33"/>
      </w:tcPr>
    </w:tblStylePr>
  </w:style>
  <w:style w:type="paragraph" w:customStyle="1" w:styleId="ListNumberLevel2">
    <w:name w:val="List Number (Level 2)"/>
    <w:autoRedefine/>
    <w:uiPriority w:val="99"/>
    <w:rsid w:val="001E00B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200" w:after="120" w:line="360" w:lineRule="auto"/>
      <w:jc w:val="both"/>
    </w:pPr>
    <w:rPr>
      <w:rFonts w:ascii="Times New Roman" w:eastAsia="ヒラギノ角ゴ Pro W3" w:hAnsi="Times New Roman"/>
      <w:color w:val="00AED8" w:themeColor="accent5"/>
    </w:rPr>
  </w:style>
  <w:style w:type="paragraph" w:customStyle="1" w:styleId="Nagwek32">
    <w:name w:val="Nagłówek 32"/>
    <w:next w:val="Normalny"/>
    <w:rsid w:val="001E00BC"/>
    <w:pPr>
      <w:spacing w:before="300" w:line="276" w:lineRule="auto"/>
      <w:outlineLvl w:val="2"/>
    </w:pPr>
    <w:rPr>
      <w:rFonts w:ascii="Lucida Grande" w:eastAsia="ヒラギノ角ゴ Pro W3" w:hAnsi="Lucida Grande"/>
      <w:caps/>
      <w:color w:val="15223C"/>
      <w:spacing w:val="15"/>
      <w:sz w:val="22"/>
    </w:rPr>
  </w:style>
  <w:style w:type="character" w:customStyle="1" w:styleId="A8">
    <w:name w:val="A8"/>
    <w:uiPriority w:val="99"/>
    <w:rsid w:val="001E00BC"/>
    <w:rPr>
      <w:rFonts w:cs="Trade Gothic LT Com"/>
      <w:color w:val="000000"/>
      <w:sz w:val="20"/>
      <w:szCs w:val="20"/>
    </w:rPr>
  </w:style>
  <w:style w:type="paragraph" w:customStyle="1" w:styleId="Nagwek11">
    <w:name w:val="Nagłówek 11"/>
    <w:uiPriority w:val="99"/>
    <w:qFormat/>
    <w:rsid w:val="001E00BC"/>
    <w:pPr>
      <w:outlineLvl w:val="0"/>
    </w:pPr>
    <w:rPr>
      <w:rFonts w:ascii="Times New Roman" w:eastAsia="ヒラギノ角ゴ Pro W3" w:hAnsi="Times New Roman"/>
      <w:color w:val="000000"/>
    </w:rPr>
  </w:style>
  <w:style w:type="paragraph" w:customStyle="1" w:styleId="Podtytu1">
    <w:name w:val="Podtytuł1"/>
    <w:next w:val="Normalny"/>
    <w:autoRedefine/>
    <w:rsid w:val="001E00B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200" w:after="1000" w:line="300" w:lineRule="auto"/>
    </w:pPr>
    <w:rPr>
      <w:rFonts w:ascii="Times New Roman" w:eastAsia="ヒラギノ角ゴ Pro W3" w:hAnsi="Times New Roman"/>
      <w:caps/>
      <w:color w:val="363636"/>
      <w:spacing w:val="10"/>
      <w:sz w:val="22"/>
      <w:szCs w:val="22"/>
    </w:rPr>
  </w:style>
  <w:style w:type="table" w:customStyle="1" w:styleId="Tabelasiatki4akcent211">
    <w:name w:val="Tabela siatki 4 — akcent 211"/>
    <w:basedOn w:val="Standardowy"/>
    <w:uiPriority w:val="49"/>
    <w:rsid w:val="001E00BC"/>
    <w:tblPr>
      <w:tblStyleRowBandSize w:val="1"/>
      <w:tblStyleColBandSize w:val="1"/>
      <w:tblBorders>
        <w:top w:val="single" w:sz="4" w:space="0" w:color="FAC177" w:themeColor="accent2" w:themeTint="99"/>
        <w:left w:val="single" w:sz="4" w:space="0" w:color="FAC177" w:themeColor="accent2" w:themeTint="99"/>
        <w:bottom w:val="single" w:sz="4" w:space="0" w:color="FAC177" w:themeColor="accent2" w:themeTint="99"/>
        <w:right w:val="single" w:sz="4" w:space="0" w:color="FAC177" w:themeColor="accent2" w:themeTint="99"/>
        <w:insideH w:val="single" w:sz="4" w:space="0" w:color="FAC177" w:themeColor="accent2" w:themeTint="99"/>
        <w:insideV w:val="single" w:sz="4" w:space="0" w:color="FAC177" w:themeColor="accent2" w:themeTint="99"/>
      </w:tblBorders>
    </w:tblPr>
    <w:tblStylePr w:type="firstRow">
      <w:rPr>
        <w:b/>
        <w:bCs/>
        <w:color w:val="FFFFFF" w:themeColor="background1"/>
      </w:rPr>
      <w:tblPr/>
      <w:tcPr>
        <w:tcBorders>
          <w:top w:val="single" w:sz="4" w:space="0" w:color="F8981D" w:themeColor="accent2"/>
          <w:left w:val="single" w:sz="4" w:space="0" w:color="F8981D" w:themeColor="accent2"/>
          <w:bottom w:val="single" w:sz="4" w:space="0" w:color="F8981D" w:themeColor="accent2"/>
          <w:right w:val="single" w:sz="4" w:space="0" w:color="F8981D" w:themeColor="accent2"/>
          <w:insideH w:val="nil"/>
          <w:insideV w:val="nil"/>
        </w:tcBorders>
        <w:shd w:val="clear" w:color="auto" w:fill="F8981D" w:themeFill="accent2"/>
      </w:tcPr>
    </w:tblStylePr>
    <w:tblStylePr w:type="lastRow">
      <w:rPr>
        <w:b/>
        <w:bCs/>
      </w:rPr>
      <w:tblPr/>
      <w:tcPr>
        <w:tcBorders>
          <w:top w:val="double" w:sz="4" w:space="0" w:color="F8981D" w:themeColor="accent2"/>
        </w:tcBorders>
      </w:tcPr>
    </w:tblStylePr>
    <w:tblStylePr w:type="firstCol">
      <w:rPr>
        <w:b/>
        <w:bCs/>
      </w:rPr>
    </w:tblStylePr>
    <w:tblStylePr w:type="lastCol">
      <w:rPr>
        <w:b/>
        <w:bCs/>
      </w:rPr>
    </w:tblStylePr>
    <w:tblStylePr w:type="band1Vert">
      <w:tblPr/>
      <w:tcPr>
        <w:shd w:val="clear" w:color="auto" w:fill="FDEAD1" w:themeFill="accent2" w:themeFillTint="33"/>
      </w:tcPr>
    </w:tblStylePr>
    <w:tblStylePr w:type="band1Horz">
      <w:tblPr/>
      <w:tcPr>
        <w:shd w:val="clear" w:color="auto" w:fill="FDEAD1" w:themeFill="accent2" w:themeFillTint="33"/>
      </w:tcPr>
    </w:tblStylePr>
  </w:style>
  <w:style w:type="table" w:styleId="redniecieniowanie1akcent6">
    <w:name w:val="Medium Shading 1 Accent 6"/>
    <w:basedOn w:val="Standardowy"/>
    <w:uiPriority w:val="63"/>
    <w:rsid w:val="001E00BC"/>
    <w:rPr>
      <w:rFonts w:asciiTheme="minorHAnsi" w:eastAsiaTheme="minorHAnsi" w:hAnsiTheme="minorHAnsi" w:cstheme="minorBidi"/>
      <w:sz w:val="22"/>
      <w:szCs w:val="22"/>
      <w:lang w:val="en-GB" w:eastAsia="en-US"/>
    </w:rPr>
    <w:tblPr>
      <w:tblStyleRowBandSize w:val="1"/>
      <w:tblStyleColBandSize w:val="1"/>
      <w:tblBorders>
        <w:top w:val="single" w:sz="8" w:space="0" w:color="7E7E7E" w:themeColor="accent6" w:themeTint="BF"/>
        <w:left w:val="single" w:sz="8" w:space="0" w:color="7E7E7E" w:themeColor="accent6" w:themeTint="BF"/>
        <w:bottom w:val="single" w:sz="8" w:space="0" w:color="7E7E7E" w:themeColor="accent6" w:themeTint="BF"/>
        <w:right w:val="single" w:sz="8" w:space="0" w:color="7E7E7E" w:themeColor="accent6" w:themeTint="BF"/>
        <w:insideH w:val="single" w:sz="8" w:space="0" w:color="7E7E7E" w:themeColor="accent6" w:themeTint="BF"/>
      </w:tblBorders>
    </w:tblPr>
    <w:tblStylePr w:type="firstRow">
      <w:pPr>
        <w:spacing w:before="0" w:after="0" w:line="240" w:lineRule="auto"/>
      </w:pPr>
      <w:rPr>
        <w:b/>
        <w:bCs/>
        <w:color w:val="FFFFFF" w:themeColor="background1"/>
      </w:rPr>
      <w:tblPr/>
      <w:tcPr>
        <w:tcBorders>
          <w:top w:val="single" w:sz="8" w:space="0" w:color="7E7E7E" w:themeColor="accent6" w:themeTint="BF"/>
          <w:left w:val="single" w:sz="8" w:space="0" w:color="7E7E7E" w:themeColor="accent6" w:themeTint="BF"/>
          <w:bottom w:val="single" w:sz="8" w:space="0" w:color="7E7E7E" w:themeColor="accent6" w:themeTint="BF"/>
          <w:right w:val="single" w:sz="8" w:space="0" w:color="7E7E7E" w:themeColor="accent6" w:themeTint="BF"/>
          <w:insideH w:val="nil"/>
          <w:insideV w:val="nil"/>
        </w:tcBorders>
        <w:shd w:val="clear" w:color="auto" w:fill="535353" w:themeFill="accent6"/>
      </w:tcPr>
    </w:tblStylePr>
    <w:tblStylePr w:type="lastRow">
      <w:pPr>
        <w:spacing w:before="0" w:after="0" w:line="240" w:lineRule="auto"/>
      </w:pPr>
      <w:rPr>
        <w:b/>
        <w:bCs/>
      </w:rPr>
      <w:tblPr/>
      <w:tcPr>
        <w:tcBorders>
          <w:top w:val="double" w:sz="6" w:space="0" w:color="7E7E7E" w:themeColor="accent6" w:themeTint="BF"/>
          <w:left w:val="single" w:sz="8" w:space="0" w:color="7E7E7E" w:themeColor="accent6" w:themeTint="BF"/>
          <w:bottom w:val="single" w:sz="8" w:space="0" w:color="7E7E7E" w:themeColor="accent6" w:themeTint="BF"/>
          <w:right w:val="single" w:sz="8" w:space="0" w:color="7E7E7E" w:themeColor="accent6" w:themeTint="BF"/>
          <w:insideH w:val="nil"/>
          <w:insideV w:val="nil"/>
        </w:tcBorders>
      </w:tcPr>
    </w:tblStylePr>
    <w:tblStylePr w:type="firstCol">
      <w:rPr>
        <w:b/>
        <w:bCs/>
      </w:rPr>
    </w:tblStylePr>
    <w:tblStylePr w:type="lastCol">
      <w:rPr>
        <w:b/>
        <w:bCs/>
      </w:rPr>
    </w:tblStylePr>
    <w:tblStylePr w:type="band1Vert">
      <w:tblPr/>
      <w:tcPr>
        <w:shd w:val="clear" w:color="auto" w:fill="D4D4D4" w:themeFill="accent6" w:themeFillTint="3F"/>
      </w:tcPr>
    </w:tblStylePr>
    <w:tblStylePr w:type="band1Horz">
      <w:tblPr/>
      <w:tcPr>
        <w:tcBorders>
          <w:insideH w:val="nil"/>
          <w:insideV w:val="nil"/>
        </w:tcBorders>
        <w:shd w:val="clear" w:color="auto" w:fill="D4D4D4" w:themeFill="accent6" w:themeFillTint="3F"/>
      </w:tcPr>
    </w:tblStylePr>
    <w:tblStylePr w:type="band2Horz">
      <w:tblPr/>
      <w:tcPr>
        <w:tcBorders>
          <w:insideH w:val="nil"/>
          <w:insideV w:val="nil"/>
        </w:tcBorders>
      </w:tcPr>
    </w:tblStylePr>
  </w:style>
  <w:style w:type="table" w:styleId="redniecieniowanie1akcent2">
    <w:name w:val="Medium Shading 1 Accent 2"/>
    <w:basedOn w:val="Standardowy"/>
    <w:uiPriority w:val="63"/>
    <w:rsid w:val="001E00BC"/>
    <w:tblPr>
      <w:tblStyleRowBandSize w:val="1"/>
      <w:tblStyleColBandSize w:val="1"/>
      <w:tblBorders>
        <w:top w:val="single" w:sz="8" w:space="0" w:color="F9B155" w:themeColor="accent2" w:themeTint="BF"/>
        <w:left w:val="single" w:sz="8" w:space="0" w:color="F9B155" w:themeColor="accent2" w:themeTint="BF"/>
        <w:bottom w:val="single" w:sz="8" w:space="0" w:color="F9B155" w:themeColor="accent2" w:themeTint="BF"/>
        <w:right w:val="single" w:sz="8" w:space="0" w:color="F9B155" w:themeColor="accent2" w:themeTint="BF"/>
        <w:insideH w:val="single" w:sz="8" w:space="0" w:color="F9B155" w:themeColor="accent2" w:themeTint="BF"/>
      </w:tblBorders>
    </w:tblPr>
    <w:tblStylePr w:type="firstRow">
      <w:pPr>
        <w:spacing w:before="0" w:after="0" w:line="240" w:lineRule="auto"/>
      </w:pPr>
      <w:rPr>
        <w:b/>
        <w:bCs/>
        <w:color w:val="FFFFFF" w:themeColor="background1"/>
      </w:rPr>
      <w:tblPr/>
      <w:tcPr>
        <w:tcBorders>
          <w:top w:val="single" w:sz="8" w:space="0" w:color="F9B155" w:themeColor="accent2" w:themeTint="BF"/>
          <w:left w:val="single" w:sz="8" w:space="0" w:color="F9B155" w:themeColor="accent2" w:themeTint="BF"/>
          <w:bottom w:val="single" w:sz="8" w:space="0" w:color="F9B155" w:themeColor="accent2" w:themeTint="BF"/>
          <w:right w:val="single" w:sz="8" w:space="0" w:color="F9B155" w:themeColor="accent2" w:themeTint="BF"/>
          <w:insideH w:val="nil"/>
          <w:insideV w:val="nil"/>
        </w:tcBorders>
        <w:shd w:val="clear" w:color="auto" w:fill="F8981D" w:themeFill="accent2"/>
      </w:tcPr>
    </w:tblStylePr>
    <w:tblStylePr w:type="lastRow">
      <w:pPr>
        <w:spacing w:before="0" w:after="0" w:line="240" w:lineRule="auto"/>
      </w:pPr>
      <w:rPr>
        <w:b/>
        <w:bCs/>
      </w:rPr>
      <w:tblPr/>
      <w:tcPr>
        <w:tcBorders>
          <w:top w:val="double" w:sz="6" w:space="0" w:color="F9B155" w:themeColor="accent2" w:themeTint="BF"/>
          <w:left w:val="single" w:sz="8" w:space="0" w:color="F9B155" w:themeColor="accent2" w:themeTint="BF"/>
          <w:bottom w:val="single" w:sz="8" w:space="0" w:color="F9B155" w:themeColor="accent2" w:themeTint="BF"/>
          <w:right w:val="single" w:sz="8" w:space="0" w:color="F9B155" w:themeColor="accent2" w:themeTint="BF"/>
          <w:insideH w:val="nil"/>
          <w:insideV w:val="nil"/>
        </w:tcBorders>
      </w:tcPr>
    </w:tblStylePr>
    <w:tblStylePr w:type="firstCol">
      <w:rPr>
        <w:b/>
        <w:bCs/>
      </w:rPr>
    </w:tblStylePr>
    <w:tblStylePr w:type="lastCol">
      <w:rPr>
        <w:b/>
        <w:bCs/>
      </w:rPr>
    </w:tblStylePr>
    <w:tblStylePr w:type="band1Vert">
      <w:tblPr/>
      <w:tcPr>
        <w:shd w:val="clear" w:color="auto" w:fill="FDE5C7" w:themeFill="accent2" w:themeFillTint="3F"/>
      </w:tcPr>
    </w:tblStylePr>
    <w:tblStylePr w:type="band1Horz">
      <w:tblPr/>
      <w:tcPr>
        <w:tcBorders>
          <w:insideH w:val="nil"/>
          <w:insideV w:val="nil"/>
        </w:tcBorders>
        <w:shd w:val="clear" w:color="auto" w:fill="FDE5C7" w:themeFill="accent2" w:themeFillTint="3F"/>
      </w:tcPr>
    </w:tblStylePr>
    <w:tblStylePr w:type="band2Horz">
      <w:tblPr/>
      <w:tcPr>
        <w:tcBorders>
          <w:insideH w:val="nil"/>
          <w:insideV w:val="nil"/>
        </w:tcBorders>
      </w:tcPr>
    </w:tblStylePr>
  </w:style>
  <w:style w:type="paragraph" w:styleId="Spistreci3">
    <w:name w:val="toc 3"/>
    <w:basedOn w:val="Normalny"/>
    <w:next w:val="Normalny"/>
    <w:autoRedefine/>
    <w:uiPriority w:val="39"/>
    <w:unhideWhenUsed/>
    <w:rsid w:val="00A65044"/>
    <w:pPr>
      <w:tabs>
        <w:tab w:val="left" w:pos="1100"/>
        <w:tab w:val="right" w:leader="dot" w:pos="9062"/>
      </w:tabs>
      <w:spacing w:after="100"/>
      <w:ind w:left="400"/>
    </w:pPr>
  </w:style>
  <w:style w:type="paragraph" w:styleId="Spisilustracji">
    <w:name w:val="table of figures"/>
    <w:basedOn w:val="Normalny"/>
    <w:next w:val="Normalny"/>
    <w:uiPriority w:val="99"/>
    <w:unhideWhenUsed/>
    <w:rsid w:val="00A806D0"/>
    <w:pPr>
      <w:spacing w:after="0"/>
    </w:pPr>
  </w:style>
  <w:style w:type="paragraph" w:styleId="Lista-kontynuacja">
    <w:name w:val="List Continue"/>
    <w:basedOn w:val="Normalny"/>
    <w:uiPriority w:val="99"/>
    <w:unhideWhenUsed/>
    <w:rsid w:val="00AD29A4"/>
    <w:pPr>
      <w:spacing w:after="120"/>
      <w:ind w:left="283"/>
      <w:contextualSpacing/>
    </w:pPr>
  </w:style>
  <w:style w:type="paragraph" w:styleId="Lista">
    <w:name w:val="List"/>
    <w:basedOn w:val="Normalny"/>
    <w:uiPriority w:val="99"/>
    <w:unhideWhenUsed/>
    <w:rsid w:val="00B93972"/>
    <w:pPr>
      <w:ind w:left="283" w:hanging="283"/>
      <w:contextualSpacing/>
    </w:pPr>
  </w:style>
  <w:style w:type="paragraph" w:styleId="Lista2">
    <w:name w:val="List 2"/>
    <w:basedOn w:val="Normalny"/>
    <w:uiPriority w:val="99"/>
    <w:unhideWhenUsed/>
    <w:rsid w:val="00B93972"/>
    <w:pPr>
      <w:ind w:left="566" w:hanging="283"/>
      <w:contextualSpacing/>
    </w:pPr>
  </w:style>
  <w:style w:type="table" w:customStyle="1" w:styleId="Tabelasiatki4akcent22">
    <w:name w:val="Tabela siatki 4 — akcent 22"/>
    <w:basedOn w:val="Standardowy"/>
    <w:uiPriority w:val="49"/>
    <w:rsid w:val="001A3378"/>
    <w:tblPr>
      <w:tblStyleRowBandSize w:val="1"/>
      <w:tblStyleColBandSize w:val="1"/>
      <w:tblBorders>
        <w:top w:val="single" w:sz="4" w:space="0" w:color="FAC177" w:themeColor="accent2" w:themeTint="99"/>
        <w:left w:val="single" w:sz="4" w:space="0" w:color="FAC177" w:themeColor="accent2" w:themeTint="99"/>
        <w:bottom w:val="single" w:sz="4" w:space="0" w:color="FAC177" w:themeColor="accent2" w:themeTint="99"/>
        <w:right w:val="single" w:sz="4" w:space="0" w:color="FAC177" w:themeColor="accent2" w:themeTint="99"/>
        <w:insideH w:val="single" w:sz="4" w:space="0" w:color="FAC177" w:themeColor="accent2" w:themeTint="99"/>
        <w:insideV w:val="single" w:sz="4" w:space="0" w:color="FAC177" w:themeColor="accent2" w:themeTint="99"/>
      </w:tblBorders>
    </w:tblPr>
    <w:tblStylePr w:type="firstRow">
      <w:rPr>
        <w:b/>
        <w:bCs/>
        <w:color w:val="FFFFFF" w:themeColor="background1"/>
      </w:rPr>
      <w:tblPr/>
      <w:tcPr>
        <w:tcBorders>
          <w:top w:val="single" w:sz="4" w:space="0" w:color="F8981D" w:themeColor="accent2"/>
          <w:left w:val="single" w:sz="4" w:space="0" w:color="F8981D" w:themeColor="accent2"/>
          <w:bottom w:val="single" w:sz="4" w:space="0" w:color="F8981D" w:themeColor="accent2"/>
          <w:right w:val="single" w:sz="4" w:space="0" w:color="F8981D" w:themeColor="accent2"/>
          <w:insideH w:val="nil"/>
          <w:insideV w:val="nil"/>
        </w:tcBorders>
        <w:shd w:val="clear" w:color="auto" w:fill="F8981D" w:themeFill="accent2"/>
      </w:tcPr>
    </w:tblStylePr>
    <w:tblStylePr w:type="lastRow">
      <w:rPr>
        <w:b/>
        <w:bCs/>
      </w:rPr>
      <w:tblPr/>
      <w:tcPr>
        <w:tcBorders>
          <w:top w:val="double" w:sz="4" w:space="0" w:color="F8981D" w:themeColor="accent2"/>
        </w:tcBorders>
      </w:tcPr>
    </w:tblStylePr>
    <w:tblStylePr w:type="firstCol">
      <w:rPr>
        <w:b/>
        <w:bCs/>
      </w:rPr>
    </w:tblStylePr>
    <w:tblStylePr w:type="lastCol">
      <w:rPr>
        <w:b/>
        <w:bCs/>
      </w:rPr>
    </w:tblStylePr>
    <w:tblStylePr w:type="band1Vert">
      <w:tblPr/>
      <w:tcPr>
        <w:shd w:val="clear" w:color="auto" w:fill="FDEAD1" w:themeFill="accent2" w:themeFillTint="33"/>
      </w:tcPr>
    </w:tblStylePr>
    <w:tblStylePr w:type="band1Horz">
      <w:tblPr/>
      <w:tcPr>
        <w:shd w:val="clear" w:color="auto" w:fill="FDEAD1" w:themeFill="accent2" w:themeFillTint="33"/>
      </w:tcPr>
    </w:tblStylePr>
  </w:style>
  <w:style w:type="character" w:customStyle="1" w:styleId="im">
    <w:name w:val="im"/>
    <w:basedOn w:val="Domylnaczcionkaakapitu"/>
    <w:rsid w:val="00F62DE3"/>
  </w:style>
  <w:style w:type="table" w:customStyle="1" w:styleId="Tabelasiatki4akcent23">
    <w:name w:val="Tabela siatki 4 — akcent 23"/>
    <w:basedOn w:val="Standardowy"/>
    <w:uiPriority w:val="49"/>
    <w:rsid w:val="004B3716"/>
    <w:rPr>
      <w:rFonts w:asciiTheme="minorHAnsi" w:eastAsiaTheme="minorHAnsi" w:hAnsiTheme="minorHAnsi" w:cstheme="minorBidi"/>
      <w:sz w:val="22"/>
      <w:szCs w:val="22"/>
      <w:lang w:eastAsia="en-US"/>
    </w:rPr>
    <w:tblPr>
      <w:tblStyleRowBandSize w:val="1"/>
      <w:tblStyleColBandSize w:val="1"/>
      <w:tblBorders>
        <w:top w:val="single" w:sz="4" w:space="0" w:color="FAC177" w:themeColor="accent2" w:themeTint="99"/>
        <w:left w:val="single" w:sz="4" w:space="0" w:color="FAC177" w:themeColor="accent2" w:themeTint="99"/>
        <w:bottom w:val="single" w:sz="4" w:space="0" w:color="FAC177" w:themeColor="accent2" w:themeTint="99"/>
        <w:right w:val="single" w:sz="4" w:space="0" w:color="FAC177" w:themeColor="accent2" w:themeTint="99"/>
        <w:insideH w:val="single" w:sz="4" w:space="0" w:color="FAC177" w:themeColor="accent2" w:themeTint="99"/>
        <w:insideV w:val="single" w:sz="4" w:space="0" w:color="FAC177" w:themeColor="accent2" w:themeTint="99"/>
      </w:tblBorders>
    </w:tblPr>
    <w:tblStylePr w:type="firstRow">
      <w:rPr>
        <w:b/>
        <w:bCs/>
        <w:color w:val="FFFFFF" w:themeColor="background1"/>
      </w:rPr>
      <w:tblPr/>
      <w:tcPr>
        <w:tcBorders>
          <w:top w:val="single" w:sz="4" w:space="0" w:color="F8981D" w:themeColor="accent2"/>
          <w:left w:val="single" w:sz="4" w:space="0" w:color="F8981D" w:themeColor="accent2"/>
          <w:bottom w:val="single" w:sz="4" w:space="0" w:color="F8981D" w:themeColor="accent2"/>
          <w:right w:val="single" w:sz="4" w:space="0" w:color="F8981D" w:themeColor="accent2"/>
          <w:insideH w:val="nil"/>
          <w:insideV w:val="nil"/>
        </w:tcBorders>
        <w:shd w:val="clear" w:color="auto" w:fill="F8981D" w:themeFill="accent2"/>
      </w:tcPr>
    </w:tblStylePr>
    <w:tblStylePr w:type="lastRow">
      <w:rPr>
        <w:b/>
        <w:bCs/>
      </w:rPr>
      <w:tblPr/>
      <w:tcPr>
        <w:tcBorders>
          <w:top w:val="double" w:sz="4" w:space="0" w:color="F8981D" w:themeColor="accent2"/>
        </w:tcBorders>
      </w:tcPr>
    </w:tblStylePr>
    <w:tblStylePr w:type="firstCol">
      <w:rPr>
        <w:b/>
        <w:bCs/>
      </w:rPr>
    </w:tblStylePr>
    <w:tblStylePr w:type="lastCol">
      <w:rPr>
        <w:b/>
        <w:bCs/>
      </w:rPr>
    </w:tblStylePr>
    <w:tblStylePr w:type="band1Vert">
      <w:tblPr/>
      <w:tcPr>
        <w:shd w:val="clear" w:color="auto" w:fill="FDEAD1" w:themeFill="accent2" w:themeFillTint="33"/>
      </w:tcPr>
    </w:tblStylePr>
    <w:tblStylePr w:type="band1Horz">
      <w:tblPr/>
      <w:tcPr>
        <w:shd w:val="clear" w:color="auto" w:fill="FDEAD1" w:themeFill="accent2" w:themeFillTint="33"/>
      </w:tcPr>
    </w:tblStylePr>
  </w:style>
  <w:style w:type="table" w:styleId="Siatkatabelijasna">
    <w:name w:val="Grid Table Light"/>
    <w:basedOn w:val="Standardowy"/>
    <w:uiPriority w:val="40"/>
    <w:rsid w:val="00B4059C"/>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Nierozpoznanawzmianka1">
    <w:name w:val="Nierozpoznana wzmianka1"/>
    <w:basedOn w:val="Domylnaczcionkaakapitu"/>
    <w:uiPriority w:val="99"/>
    <w:semiHidden/>
    <w:unhideWhenUsed/>
    <w:rsid w:val="006456BF"/>
    <w:rPr>
      <w:color w:val="808080"/>
      <w:shd w:val="clear" w:color="auto" w:fill="E6E6E6"/>
    </w:rPr>
  </w:style>
  <w:style w:type="character" w:customStyle="1" w:styleId="hwtze">
    <w:name w:val="hwtze"/>
    <w:basedOn w:val="Domylnaczcionkaakapitu"/>
    <w:rsid w:val="0065634C"/>
  </w:style>
  <w:style w:type="character" w:customStyle="1" w:styleId="rynqvb">
    <w:name w:val="rynqvb"/>
    <w:basedOn w:val="Domylnaczcionkaakapitu"/>
    <w:rsid w:val="0065634C"/>
  </w:style>
  <w:style w:type="character" w:customStyle="1" w:styleId="normaltextrun">
    <w:name w:val="normaltextrun"/>
    <w:basedOn w:val="Domylnaczcionkaakapitu"/>
    <w:rsid w:val="007933AF"/>
  </w:style>
  <w:style w:type="character" w:customStyle="1" w:styleId="fontstyle01">
    <w:name w:val="fontstyle01"/>
    <w:basedOn w:val="Domylnaczcionkaakapitu"/>
    <w:rsid w:val="007933AF"/>
    <w:rPr>
      <w:rFonts w:ascii="Calibri" w:hAnsi="Calibri" w:cs="Calibri" w:hint="default"/>
      <w:b w:val="0"/>
      <w:bCs w:val="0"/>
      <w:i w:val="0"/>
      <w:iCs w:val="0"/>
      <w:color w:val="242021"/>
      <w:sz w:val="24"/>
      <w:szCs w:val="24"/>
    </w:rPr>
  </w:style>
  <w:style w:type="character" w:customStyle="1" w:styleId="fontstyle21">
    <w:name w:val="fontstyle21"/>
    <w:basedOn w:val="Domylnaczcionkaakapitu"/>
    <w:rsid w:val="007933AF"/>
    <w:rPr>
      <w:rFonts w:ascii="Calibri-Italic" w:hAnsi="Calibri-Italic" w:hint="default"/>
      <w:b w:val="0"/>
      <w:bCs w:val="0"/>
      <w:i/>
      <w:iCs/>
      <w:color w:val="242021"/>
      <w:sz w:val="20"/>
      <w:szCs w:val="20"/>
    </w:rPr>
  </w:style>
  <w:style w:type="character" w:styleId="Nierozpoznanawzmianka">
    <w:name w:val="Unresolved Mention"/>
    <w:basedOn w:val="Domylnaczcionkaakapitu"/>
    <w:uiPriority w:val="99"/>
    <w:semiHidden/>
    <w:unhideWhenUsed/>
    <w:rsid w:val="003C1992"/>
    <w:rPr>
      <w:color w:val="605E5C"/>
      <w:shd w:val="clear" w:color="auto" w:fill="E1DFDD"/>
    </w:rPr>
  </w:style>
  <w:style w:type="character" w:styleId="Wzmianka">
    <w:name w:val="Mention"/>
    <w:basedOn w:val="Domylnaczcionkaakapitu"/>
    <w:uiPriority w:val="99"/>
    <w:unhideWhenUsed/>
    <w:rsid w:val="00F4318B"/>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49046">
      <w:bodyDiv w:val="1"/>
      <w:marLeft w:val="0"/>
      <w:marRight w:val="0"/>
      <w:marTop w:val="0"/>
      <w:marBottom w:val="0"/>
      <w:divBdr>
        <w:top w:val="none" w:sz="0" w:space="0" w:color="auto"/>
        <w:left w:val="none" w:sz="0" w:space="0" w:color="auto"/>
        <w:bottom w:val="none" w:sz="0" w:space="0" w:color="auto"/>
        <w:right w:val="none" w:sz="0" w:space="0" w:color="auto"/>
      </w:divBdr>
    </w:div>
    <w:div w:id="114522292">
      <w:bodyDiv w:val="1"/>
      <w:marLeft w:val="0"/>
      <w:marRight w:val="0"/>
      <w:marTop w:val="0"/>
      <w:marBottom w:val="0"/>
      <w:divBdr>
        <w:top w:val="none" w:sz="0" w:space="0" w:color="auto"/>
        <w:left w:val="none" w:sz="0" w:space="0" w:color="auto"/>
        <w:bottom w:val="none" w:sz="0" w:space="0" w:color="auto"/>
        <w:right w:val="none" w:sz="0" w:space="0" w:color="auto"/>
      </w:divBdr>
    </w:div>
    <w:div w:id="146282906">
      <w:bodyDiv w:val="1"/>
      <w:marLeft w:val="0"/>
      <w:marRight w:val="0"/>
      <w:marTop w:val="0"/>
      <w:marBottom w:val="0"/>
      <w:divBdr>
        <w:top w:val="none" w:sz="0" w:space="0" w:color="auto"/>
        <w:left w:val="none" w:sz="0" w:space="0" w:color="auto"/>
        <w:bottom w:val="none" w:sz="0" w:space="0" w:color="auto"/>
        <w:right w:val="none" w:sz="0" w:space="0" w:color="auto"/>
      </w:divBdr>
    </w:div>
    <w:div w:id="196242076">
      <w:bodyDiv w:val="1"/>
      <w:marLeft w:val="0"/>
      <w:marRight w:val="0"/>
      <w:marTop w:val="0"/>
      <w:marBottom w:val="0"/>
      <w:divBdr>
        <w:top w:val="none" w:sz="0" w:space="0" w:color="auto"/>
        <w:left w:val="none" w:sz="0" w:space="0" w:color="auto"/>
        <w:bottom w:val="none" w:sz="0" w:space="0" w:color="auto"/>
        <w:right w:val="none" w:sz="0" w:space="0" w:color="auto"/>
      </w:divBdr>
    </w:div>
    <w:div w:id="208034390">
      <w:bodyDiv w:val="1"/>
      <w:marLeft w:val="0"/>
      <w:marRight w:val="0"/>
      <w:marTop w:val="0"/>
      <w:marBottom w:val="0"/>
      <w:divBdr>
        <w:top w:val="none" w:sz="0" w:space="0" w:color="auto"/>
        <w:left w:val="none" w:sz="0" w:space="0" w:color="auto"/>
        <w:bottom w:val="none" w:sz="0" w:space="0" w:color="auto"/>
        <w:right w:val="none" w:sz="0" w:space="0" w:color="auto"/>
      </w:divBdr>
    </w:div>
    <w:div w:id="220751207">
      <w:bodyDiv w:val="1"/>
      <w:marLeft w:val="0"/>
      <w:marRight w:val="0"/>
      <w:marTop w:val="0"/>
      <w:marBottom w:val="0"/>
      <w:divBdr>
        <w:top w:val="none" w:sz="0" w:space="0" w:color="auto"/>
        <w:left w:val="none" w:sz="0" w:space="0" w:color="auto"/>
        <w:bottom w:val="none" w:sz="0" w:space="0" w:color="auto"/>
        <w:right w:val="none" w:sz="0" w:space="0" w:color="auto"/>
      </w:divBdr>
    </w:div>
    <w:div w:id="221451285">
      <w:bodyDiv w:val="1"/>
      <w:marLeft w:val="0"/>
      <w:marRight w:val="0"/>
      <w:marTop w:val="0"/>
      <w:marBottom w:val="0"/>
      <w:divBdr>
        <w:top w:val="none" w:sz="0" w:space="0" w:color="auto"/>
        <w:left w:val="none" w:sz="0" w:space="0" w:color="auto"/>
        <w:bottom w:val="none" w:sz="0" w:space="0" w:color="auto"/>
        <w:right w:val="none" w:sz="0" w:space="0" w:color="auto"/>
      </w:divBdr>
    </w:div>
    <w:div w:id="234050078">
      <w:bodyDiv w:val="1"/>
      <w:marLeft w:val="0"/>
      <w:marRight w:val="0"/>
      <w:marTop w:val="0"/>
      <w:marBottom w:val="0"/>
      <w:divBdr>
        <w:top w:val="none" w:sz="0" w:space="0" w:color="auto"/>
        <w:left w:val="none" w:sz="0" w:space="0" w:color="auto"/>
        <w:bottom w:val="none" w:sz="0" w:space="0" w:color="auto"/>
        <w:right w:val="none" w:sz="0" w:space="0" w:color="auto"/>
      </w:divBdr>
    </w:div>
    <w:div w:id="235437427">
      <w:bodyDiv w:val="1"/>
      <w:marLeft w:val="0"/>
      <w:marRight w:val="0"/>
      <w:marTop w:val="0"/>
      <w:marBottom w:val="0"/>
      <w:divBdr>
        <w:top w:val="none" w:sz="0" w:space="0" w:color="auto"/>
        <w:left w:val="none" w:sz="0" w:space="0" w:color="auto"/>
        <w:bottom w:val="none" w:sz="0" w:space="0" w:color="auto"/>
        <w:right w:val="none" w:sz="0" w:space="0" w:color="auto"/>
      </w:divBdr>
    </w:div>
    <w:div w:id="239946352">
      <w:bodyDiv w:val="1"/>
      <w:marLeft w:val="0"/>
      <w:marRight w:val="0"/>
      <w:marTop w:val="0"/>
      <w:marBottom w:val="0"/>
      <w:divBdr>
        <w:top w:val="none" w:sz="0" w:space="0" w:color="auto"/>
        <w:left w:val="none" w:sz="0" w:space="0" w:color="auto"/>
        <w:bottom w:val="none" w:sz="0" w:space="0" w:color="auto"/>
        <w:right w:val="none" w:sz="0" w:space="0" w:color="auto"/>
      </w:divBdr>
    </w:div>
    <w:div w:id="252275783">
      <w:bodyDiv w:val="1"/>
      <w:marLeft w:val="0"/>
      <w:marRight w:val="0"/>
      <w:marTop w:val="0"/>
      <w:marBottom w:val="0"/>
      <w:divBdr>
        <w:top w:val="none" w:sz="0" w:space="0" w:color="auto"/>
        <w:left w:val="none" w:sz="0" w:space="0" w:color="auto"/>
        <w:bottom w:val="none" w:sz="0" w:space="0" w:color="auto"/>
        <w:right w:val="none" w:sz="0" w:space="0" w:color="auto"/>
      </w:divBdr>
    </w:div>
    <w:div w:id="296687272">
      <w:bodyDiv w:val="1"/>
      <w:marLeft w:val="0"/>
      <w:marRight w:val="0"/>
      <w:marTop w:val="0"/>
      <w:marBottom w:val="0"/>
      <w:divBdr>
        <w:top w:val="none" w:sz="0" w:space="0" w:color="auto"/>
        <w:left w:val="none" w:sz="0" w:space="0" w:color="auto"/>
        <w:bottom w:val="none" w:sz="0" w:space="0" w:color="auto"/>
        <w:right w:val="none" w:sz="0" w:space="0" w:color="auto"/>
      </w:divBdr>
    </w:div>
    <w:div w:id="313142418">
      <w:bodyDiv w:val="1"/>
      <w:marLeft w:val="0"/>
      <w:marRight w:val="0"/>
      <w:marTop w:val="0"/>
      <w:marBottom w:val="0"/>
      <w:divBdr>
        <w:top w:val="none" w:sz="0" w:space="0" w:color="auto"/>
        <w:left w:val="none" w:sz="0" w:space="0" w:color="auto"/>
        <w:bottom w:val="none" w:sz="0" w:space="0" w:color="auto"/>
        <w:right w:val="none" w:sz="0" w:space="0" w:color="auto"/>
      </w:divBdr>
      <w:divsChild>
        <w:div w:id="1404713898">
          <w:marLeft w:val="0"/>
          <w:marRight w:val="0"/>
          <w:marTop w:val="67"/>
          <w:marBottom w:val="0"/>
          <w:divBdr>
            <w:top w:val="none" w:sz="0" w:space="0" w:color="auto"/>
            <w:left w:val="none" w:sz="0" w:space="0" w:color="auto"/>
            <w:bottom w:val="none" w:sz="0" w:space="0" w:color="auto"/>
            <w:right w:val="none" w:sz="0" w:space="0" w:color="auto"/>
          </w:divBdr>
        </w:div>
      </w:divsChild>
    </w:div>
    <w:div w:id="366568176">
      <w:bodyDiv w:val="1"/>
      <w:marLeft w:val="0"/>
      <w:marRight w:val="0"/>
      <w:marTop w:val="0"/>
      <w:marBottom w:val="0"/>
      <w:divBdr>
        <w:top w:val="none" w:sz="0" w:space="0" w:color="auto"/>
        <w:left w:val="none" w:sz="0" w:space="0" w:color="auto"/>
        <w:bottom w:val="none" w:sz="0" w:space="0" w:color="auto"/>
        <w:right w:val="none" w:sz="0" w:space="0" w:color="auto"/>
      </w:divBdr>
    </w:div>
    <w:div w:id="377901787">
      <w:bodyDiv w:val="1"/>
      <w:marLeft w:val="0"/>
      <w:marRight w:val="0"/>
      <w:marTop w:val="0"/>
      <w:marBottom w:val="0"/>
      <w:divBdr>
        <w:top w:val="none" w:sz="0" w:space="0" w:color="auto"/>
        <w:left w:val="none" w:sz="0" w:space="0" w:color="auto"/>
        <w:bottom w:val="none" w:sz="0" w:space="0" w:color="auto"/>
        <w:right w:val="none" w:sz="0" w:space="0" w:color="auto"/>
      </w:divBdr>
    </w:div>
    <w:div w:id="398212348">
      <w:bodyDiv w:val="1"/>
      <w:marLeft w:val="0"/>
      <w:marRight w:val="0"/>
      <w:marTop w:val="0"/>
      <w:marBottom w:val="0"/>
      <w:divBdr>
        <w:top w:val="none" w:sz="0" w:space="0" w:color="auto"/>
        <w:left w:val="none" w:sz="0" w:space="0" w:color="auto"/>
        <w:bottom w:val="none" w:sz="0" w:space="0" w:color="auto"/>
        <w:right w:val="none" w:sz="0" w:space="0" w:color="auto"/>
      </w:divBdr>
    </w:div>
    <w:div w:id="524558998">
      <w:bodyDiv w:val="1"/>
      <w:marLeft w:val="0"/>
      <w:marRight w:val="0"/>
      <w:marTop w:val="0"/>
      <w:marBottom w:val="0"/>
      <w:divBdr>
        <w:top w:val="none" w:sz="0" w:space="0" w:color="auto"/>
        <w:left w:val="none" w:sz="0" w:space="0" w:color="auto"/>
        <w:bottom w:val="none" w:sz="0" w:space="0" w:color="auto"/>
        <w:right w:val="none" w:sz="0" w:space="0" w:color="auto"/>
      </w:divBdr>
    </w:div>
    <w:div w:id="571546494">
      <w:bodyDiv w:val="1"/>
      <w:marLeft w:val="0"/>
      <w:marRight w:val="0"/>
      <w:marTop w:val="0"/>
      <w:marBottom w:val="0"/>
      <w:divBdr>
        <w:top w:val="none" w:sz="0" w:space="0" w:color="auto"/>
        <w:left w:val="none" w:sz="0" w:space="0" w:color="auto"/>
        <w:bottom w:val="none" w:sz="0" w:space="0" w:color="auto"/>
        <w:right w:val="none" w:sz="0" w:space="0" w:color="auto"/>
      </w:divBdr>
      <w:divsChild>
        <w:div w:id="73548155">
          <w:marLeft w:val="0"/>
          <w:marRight w:val="0"/>
          <w:marTop w:val="0"/>
          <w:marBottom w:val="0"/>
          <w:divBdr>
            <w:top w:val="none" w:sz="0" w:space="0" w:color="auto"/>
            <w:left w:val="none" w:sz="0" w:space="0" w:color="auto"/>
            <w:bottom w:val="none" w:sz="0" w:space="0" w:color="auto"/>
            <w:right w:val="none" w:sz="0" w:space="0" w:color="auto"/>
          </w:divBdr>
        </w:div>
        <w:div w:id="772824745">
          <w:marLeft w:val="0"/>
          <w:marRight w:val="0"/>
          <w:marTop w:val="0"/>
          <w:marBottom w:val="0"/>
          <w:divBdr>
            <w:top w:val="none" w:sz="0" w:space="0" w:color="auto"/>
            <w:left w:val="none" w:sz="0" w:space="0" w:color="auto"/>
            <w:bottom w:val="none" w:sz="0" w:space="0" w:color="auto"/>
            <w:right w:val="none" w:sz="0" w:space="0" w:color="auto"/>
          </w:divBdr>
        </w:div>
        <w:div w:id="808210212">
          <w:marLeft w:val="0"/>
          <w:marRight w:val="0"/>
          <w:marTop w:val="0"/>
          <w:marBottom w:val="0"/>
          <w:divBdr>
            <w:top w:val="none" w:sz="0" w:space="0" w:color="auto"/>
            <w:left w:val="none" w:sz="0" w:space="0" w:color="auto"/>
            <w:bottom w:val="none" w:sz="0" w:space="0" w:color="auto"/>
            <w:right w:val="none" w:sz="0" w:space="0" w:color="auto"/>
          </w:divBdr>
        </w:div>
        <w:div w:id="1184980772">
          <w:marLeft w:val="0"/>
          <w:marRight w:val="0"/>
          <w:marTop w:val="0"/>
          <w:marBottom w:val="0"/>
          <w:divBdr>
            <w:top w:val="none" w:sz="0" w:space="0" w:color="auto"/>
            <w:left w:val="none" w:sz="0" w:space="0" w:color="auto"/>
            <w:bottom w:val="none" w:sz="0" w:space="0" w:color="auto"/>
            <w:right w:val="none" w:sz="0" w:space="0" w:color="auto"/>
          </w:divBdr>
        </w:div>
        <w:div w:id="2083136239">
          <w:marLeft w:val="0"/>
          <w:marRight w:val="0"/>
          <w:marTop w:val="0"/>
          <w:marBottom w:val="0"/>
          <w:divBdr>
            <w:top w:val="none" w:sz="0" w:space="0" w:color="auto"/>
            <w:left w:val="none" w:sz="0" w:space="0" w:color="auto"/>
            <w:bottom w:val="none" w:sz="0" w:space="0" w:color="auto"/>
            <w:right w:val="none" w:sz="0" w:space="0" w:color="auto"/>
          </w:divBdr>
        </w:div>
      </w:divsChild>
    </w:div>
    <w:div w:id="605118121">
      <w:bodyDiv w:val="1"/>
      <w:marLeft w:val="0"/>
      <w:marRight w:val="0"/>
      <w:marTop w:val="0"/>
      <w:marBottom w:val="0"/>
      <w:divBdr>
        <w:top w:val="none" w:sz="0" w:space="0" w:color="auto"/>
        <w:left w:val="none" w:sz="0" w:space="0" w:color="auto"/>
        <w:bottom w:val="none" w:sz="0" w:space="0" w:color="auto"/>
        <w:right w:val="none" w:sz="0" w:space="0" w:color="auto"/>
      </w:divBdr>
    </w:div>
    <w:div w:id="660473619">
      <w:bodyDiv w:val="1"/>
      <w:marLeft w:val="0"/>
      <w:marRight w:val="0"/>
      <w:marTop w:val="0"/>
      <w:marBottom w:val="0"/>
      <w:divBdr>
        <w:top w:val="none" w:sz="0" w:space="0" w:color="auto"/>
        <w:left w:val="none" w:sz="0" w:space="0" w:color="auto"/>
        <w:bottom w:val="none" w:sz="0" w:space="0" w:color="auto"/>
        <w:right w:val="none" w:sz="0" w:space="0" w:color="auto"/>
      </w:divBdr>
    </w:div>
    <w:div w:id="849949262">
      <w:bodyDiv w:val="1"/>
      <w:marLeft w:val="0"/>
      <w:marRight w:val="0"/>
      <w:marTop w:val="0"/>
      <w:marBottom w:val="0"/>
      <w:divBdr>
        <w:top w:val="none" w:sz="0" w:space="0" w:color="auto"/>
        <w:left w:val="none" w:sz="0" w:space="0" w:color="auto"/>
        <w:bottom w:val="none" w:sz="0" w:space="0" w:color="auto"/>
        <w:right w:val="none" w:sz="0" w:space="0" w:color="auto"/>
      </w:divBdr>
    </w:div>
    <w:div w:id="874000119">
      <w:bodyDiv w:val="1"/>
      <w:marLeft w:val="0"/>
      <w:marRight w:val="0"/>
      <w:marTop w:val="0"/>
      <w:marBottom w:val="0"/>
      <w:divBdr>
        <w:top w:val="none" w:sz="0" w:space="0" w:color="auto"/>
        <w:left w:val="none" w:sz="0" w:space="0" w:color="auto"/>
        <w:bottom w:val="none" w:sz="0" w:space="0" w:color="auto"/>
        <w:right w:val="none" w:sz="0" w:space="0" w:color="auto"/>
      </w:divBdr>
      <w:divsChild>
        <w:div w:id="158933398">
          <w:marLeft w:val="0"/>
          <w:marRight w:val="0"/>
          <w:marTop w:val="0"/>
          <w:marBottom w:val="0"/>
          <w:divBdr>
            <w:top w:val="none" w:sz="0" w:space="0" w:color="auto"/>
            <w:left w:val="none" w:sz="0" w:space="0" w:color="auto"/>
            <w:bottom w:val="none" w:sz="0" w:space="0" w:color="auto"/>
            <w:right w:val="none" w:sz="0" w:space="0" w:color="auto"/>
          </w:divBdr>
        </w:div>
        <w:div w:id="515269833">
          <w:marLeft w:val="0"/>
          <w:marRight w:val="0"/>
          <w:marTop w:val="0"/>
          <w:marBottom w:val="0"/>
          <w:divBdr>
            <w:top w:val="none" w:sz="0" w:space="0" w:color="auto"/>
            <w:left w:val="none" w:sz="0" w:space="0" w:color="auto"/>
            <w:bottom w:val="none" w:sz="0" w:space="0" w:color="auto"/>
            <w:right w:val="none" w:sz="0" w:space="0" w:color="auto"/>
          </w:divBdr>
          <w:divsChild>
            <w:div w:id="1412002428">
              <w:marLeft w:val="0"/>
              <w:marRight w:val="0"/>
              <w:marTop w:val="0"/>
              <w:marBottom w:val="0"/>
              <w:divBdr>
                <w:top w:val="none" w:sz="0" w:space="0" w:color="auto"/>
                <w:left w:val="none" w:sz="0" w:space="0" w:color="auto"/>
                <w:bottom w:val="none" w:sz="0" w:space="0" w:color="auto"/>
                <w:right w:val="none" w:sz="0" w:space="0" w:color="auto"/>
              </w:divBdr>
              <w:divsChild>
                <w:div w:id="937830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6689353">
          <w:marLeft w:val="0"/>
          <w:marRight w:val="0"/>
          <w:marTop w:val="0"/>
          <w:marBottom w:val="0"/>
          <w:divBdr>
            <w:top w:val="none" w:sz="0" w:space="0" w:color="auto"/>
            <w:left w:val="none" w:sz="0" w:space="0" w:color="auto"/>
            <w:bottom w:val="none" w:sz="0" w:space="0" w:color="auto"/>
            <w:right w:val="none" w:sz="0" w:space="0" w:color="auto"/>
          </w:divBdr>
          <w:divsChild>
            <w:div w:id="967664259">
              <w:marLeft w:val="0"/>
              <w:marRight w:val="0"/>
              <w:marTop w:val="0"/>
              <w:marBottom w:val="0"/>
              <w:divBdr>
                <w:top w:val="none" w:sz="0" w:space="0" w:color="auto"/>
                <w:left w:val="none" w:sz="0" w:space="0" w:color="auto"/>
                <w:bottom w:val="none" w:sz="0" w:space="0" w:color="auto"/>
                <w:right w:val="none" w:sz="0" w:space="0" w:color="auto"/>
              </w:divBdr>
              <w:divsChild>
                <w:div w:id="587348047">
                  <w:marLeft w:val="0"/>
                  <w:marRight w:val="0"/>
                  <w:marTop w:val="0"/>
                  <w:marBottom w:val="0"/>
                  <w:divBdr>
                    <w:top w:val="none" w:sz="0" w:space="0" w:color="auto"/>
                    <w:left w:val="none" w:sz="0" w:space="0" w:color="auto"/>
                    <w:bottom w:val="none" w:sz="0" w:space="0" w:color="auto"/>
                    <w:right w:val="none" w:sz="0" w:space="0" w:color="auto"/>
                  </w:divBdr>
                  <w:divsChild>
                    <w:div w:id="191186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9051508">
      <w:bodyDiv w:val="1"/>
      <w:marLeft w:val="0"/>
      <w:marRight w:val="0"/>
      <w:marTop w:val="0"/>
      <w:marBottom w:val="0"/>
      <w:divBdr>
        <w:top w:val="none" w:sz="0" w:space="0" w:color="auto"/>
        <w:left w:val="none" w:sz="0" w:space="0" w:color="auto"/>
        <w:bottom w:val="none" w:sz="0" w:space="0" w:color="auto"/>
        <w:right w:val="none" w:sz="0" w:space="0" w:color="auto"/>
      </w:divBdr>
      <w:divsChild>
        <w:div w:id="19937305">
          <w:marLeft w:val="0"/>
          <w:marRight w:val="0"/>
          <w:marTop w:val="0"/>
          <w:marBottom w:val="0"/>
          <w:divBdr>
            <w:top w:val="none" w:sz="0" w:space="0" w:color="auto"/>
            <w:left w:val="none" w:sz="0" w:space="0" w:color="auto"/>
            <w:bottom w:val="none" w:sz="0" w:space="0" w:color="auto"/>
            <w:right w:val="none" w:sz="0" w:space="0" w:color="auto"/>
          </w:divBdr>
        </w:div>
        <w:div w:id="289291379">
          <w:marLeft w:val="0"/>
          <w:marRight w:val="0"/>
          <w:marTop w:val="0"/>
          <w:marBottom w:val="0"/>
          <w:divBdr>
            <w:top w:val="none" w:sz="0" w:space="0" w:color="auto"/>
            <w:left w:val="none" w:sz="0" w:space="0" w:color="auto"/>
            <w:bottom w:val="none" w:sz="0" w:space="0" w:color="auto"/>
            <w:right w:val="none" w:sz="0" w:space="0" w:color="auto"/>
          </w:divBdr>
        </w:div>
        <w:div w:id="293143089">
          <w:marLeft w:val="0"/>
          <w:marRight w:val="0"/>
          <w:marTop w:val="0"/>
          <w:marBottom w:val="0"/>
          <w:divBdr>
            <w:top w:val="none" w:sz="0" w:space="0" w:color="auto"/>
            <w:left w:val="none" w:sz="0" w:space="0" w:color="auto"/>
            <w:bottom w:val="none" w:sz="0" w:space="0" w:color="auto"/>
            <w:right w:val="none" w:sz="0" w:space="0" w:color="auto"/>
          </w:divBdr>
        </w:div>
        <w:div w:id="386799831">
          <w:marLeft w:val="0"/>
          <w:marRight w:val="0"/>
          <w:marTop w:val="0"/>
          <w:marBottom w:val="0"/>
          <w:divBdr>
            <w:top w:val="none" w:sz="0" w:space="0" w:color="auto"/>
            <w:left w:val="none" w:sz="0" w:space="0" w:color="auto"/>
            <w:bottom w:val="none" w:sz="0" w:space="0" w:color="auto"/>
            <w:right w:val="none" w:sz="0" w:space="0" w:color="auto"/>
          </w:divBdr>
        </w:div>
        <w:div w:id="481192871">
          <w:marLeft w:val="0"/>
          <w:marRight w:val="0"/>
          <w:marTop w:val="0"/>
          <w:marBottom w:val="0"/>
          <w:divBdr>
            <w:top w:val="none" w:sz="0" w:space="0" w:color="auto"/>
            <w:left w:val="none" w:sz="0" w:space="0" w:color="auto"/>
            <w:bottom w:val="none" w:sz="0" w:space="0" w:color="auto"/>
            <w:right w:val="none" w:sz="0" w:space="0" w:color="auto"/>
          </w:divBdr>
        </w:div>
        <w:div w:id="505872555">
          <w:marLeft w:val="0"/>
          <w:marRight w:val="0"/>
          <w:marTop w:val="0"/>
          <w:marBottom w:val="0"/>
          <w:divBdr>
            <w:top w:val="none" w:sz="0" w:space="0" w:color="auto"/>
            <w:left w:val="none" w:sz="0" w:space="0" w:color="auto"/>
            <w:bottom w:val="none" w:sz="0" w:space="0" w:color="auto"/>
            <w:right w:val="none" w:sz="0" w:space="0" w:color="auto"/>
          </w:divBdr>
        </w:div>
        <w:div w:id="543638337">
          <w:marLeft w:val="0"/>
          <w:marRight w:val="0"/>
          <w:marTop w:val="0"/>
          <w:marBottom w:val="0"/>
          <w:divBdr>
            <w:top w:val="none" w:sz="0" w:space="0" w:color="auto"/>
            <w:left w:val="none" w:sz="0" w:space="0" w:color="auto"/>
            <w:bottom w:val="none" w:sz="0" w:space="0" w:color="auto"/>
            <w:right w:val="none" w:sz="0" w:space="0" w:color="auto"/>
          </w:divBdr>
        </w:div>
        <w:div w:id="606622119">
          <w:marLeft w:val="0"/>
          <w:marRight w:val="0"/>
          <w:marTop w:val="0"/>
          <w:marBottom w:val="0"/>
          <w:divBdr>
            <w:top w:val="none" w:sz="0" w:space="0" w:color="auto"/>
            <w:left w:val="none" w:sz="0" w:space="0" w:color="auto"/>
            <w:bottom w:val="none" w:sz="0" w:space="0" w:color="auto"/>
            <w:right w:val="none" w:sz="0" w:space="0" w:color="auto"/>
          </w:divBdr>
        </w:div>
        <w:div w:id="668365748">
          <w:marLeft w:val="0"/>
          <w:marRight w:val="0"/>
          <w:marTop w:val="0"/>
          <w:marBottom w:val="0"/>
          <w:divBdr>
            <w:top w:val="none" w:sz="0" w:space="0" w:color="auto"/>
            <w:left w:val="none" w:sz="0" w:space="0" w:color="auto"/>
            <w:bottom w:val="none" w:sz="0" w:space="0" w:color="auto"/>
            <w:right w:val="none" w:sz="0" w:space="0" w:color="auto"/>
          </w:divBdr>
        </w:div>
        <w:div w:id="707997834">
          <w:marLeft w:val="0"/>
          <w:marRight w:val="0"/>
          <w:marTop w:val="0"/>
          <w:marBottom w:val="0"/>
          <w:divBdr>
            <w:top w:val="none" w:sz="0" w:space="0" w:color="auto"/>
            <w:left w:val="none" w:sz="0" w:space="0" w:color="auto"/>
            <w:bottom w:val="none" w:sz="0" w:space="0" w:color="auto"/>
            <w:right w:val="none" w:sz="0" w:space="0" w:color="auto"/>
          </w:divBdr>
        </w:div>
        <w:div w:id="861087889">
          <w:marLeft w:val="0"/>
          <w:marRight w:val="0"/>
          <w:marTop w:val="0"/>
          <w:marBottom w:val="0"/>
          <w:divBdr>
            <w:top w:val="none" w:sz="0" w:space="0" w:color="auto"/>
            <w:left w:val="none" w:sz="0" w:space="0" w:color="auto"/>
            <w:bottom w:val="none" w:sz="0" w:space="0" w:color="auto"/>
            <w:right w:val="none" w:sz="0" w:space="0" w:color="auto"/>
          </w:divBdr>
        </w:div>
        <w:div w:id="1116682433">
          <w:marLeft w:val="0"/>
          <w:marRight w:val="0"/>
          <w:marTop w:val="0"/>
          <w:marBottom w:val="0"/>
          <w:divBdr>
            <w:top w:val="none" w:sz="0" w:space="0" w:color="auto"/>
            <w:left w:val="none" w:sz="0" w:space="0" w:color="auto"/>
            <w:bottom w:val="none" w:sz="0" w:space="0" w:color="auto"/>
            <w:right w:val="none" w:sz="0" w:space="0" w:color="auto"/>
          </w:divBdr>
        </w:div>
        <w:div w:id="1470393429">
          <w:marLeft w:val="0"/>
          <w:marRight w:val="0"/>
          <w:marTop w:val="0"/>
          <w:marBottom w:val="0"/>
          <w:divBdr>
            <w:top w:val="none" w:sz="0" w:space="0" w:color="auto"/>
            <w:left w:val="none" w:sz="0" w:space="0" w:color="auto"/>
            <w:bottom w:val="none" w:sz="0" w:space="0" w:color="auto"/>
            <w:right w:val="none" w:sz="0" w:space="0" w:color="auto"/>
          </w:divBdr>
        </w:div>
        <w:div w:id="1593466264">
          <w:marLeft w:val="0"/>
          <w:marRight w:val="0"/>
          <w:marTop w:val="0"/>
          <w:marBottom w:val="0"/>
          <w:divBdr>
            <w:top w:val="none" w:sz="0" w:space="0" w:color="auto"/>
            <w:left w:val="none" w:sz="0" w:space="0" w:color="auto"/>
            <w:bottom w:val="none" w:sz="0" w:space="0" w:color="auto"/>
            <w:right w:val="none" w:sz="0" w:space="0" w:color="auto"/>
          </w:divBdr>
        </w:div>
        <w:div w:id="1710951779">
          <w:marLeft w:val="0"/>
          <w:marRight w:val="0"/>
          <w:marTop w:val="0"/>
          <w:marBottom w:val="0"/>
          <w:divBdr>
            <w:top w:val="none" w:sz="0" w:space="0" w:color="auto"/>
            <w:left w:val="none" w:sz="0" w:space="0" w:color="auto"/>
            <w:bottom w:val="none" w:sz="0" w:space="0" w:color="auto"/>
            <w:right w:val="none" w:sz="0" w:space="0" w:color="auto"/>
          </w:divBdr>
        </w:div>
        <w:div w:id="1776905440">
          <w:marLeft w:val="0"/>
          <w:marRight w:val="0"/>
          <w:marTop w:val="0"/>
          <w:marBottom w:val="0"/>
          <w:divBdr>
            <w:top w:val="none" w:sz="0" w:space="0" w:color="auto"/>
            <w:left w:val="none" w:sz="0" w:space="0" w:color="auto"/>
            <w:bottom w:val="none" w:sz="0" w:space="0" w:color="auto"/>
            <w:right w:val="none" w:sz="0" w:space="0" w:color="auto"/>
          </w:divBdr>
        </w:div>
        <w:div w:id="1864124048">
          <w:marLeft w:val="0"/>
          <w:marRight w:val="0"/>
          <w:marTop w:val="0"/>
          <w:marBottom w:val="0"/>
          <w:divBdr>
            <w:top w:val="none" w:sz="0" w:space="0" w:color="auto"/>
            <w:left w:val="none" w:sz="0" w:space="0" w:color="auto"/>
            <w:bottom w:val="none" w:sz="0" w:space="0" w:color="auto"/>
            <w:right w:val="none" w:sz="0" w:space="0" w:color="auto"/>
          </w:divBdr>
        </w:div>
      </w:divsChild>
    </w:div>
    <w:div w:id="940183103">
      <w:bodyDiv w:val="1"/>
      <w:marLeft w:val="0"/>
      <w:marRight w:val="0"/>
      <w:marTop w:val="0"/>
      <w:marBottom w:val="0"/>
      <w:divBdr>
        <w:top w:val="none" w:sz="0" w:space="0" w:color="auto"/>
        <w:left w:val="none" w:sz="0" w:space="0" w:color="auto"/>
        <w:bottom w:val="none" w:sz="0" w:space="0" w:color="auto"/>
        <w:right w:val="none" w:sz="0" w:space="0" w:color="auto"/>
      </w:divBdr>
    </w:div>
    <w:div w:id="967587152">
      <w:bodyDiv w:val="1"/>
      <w:marLeft w:val="0"/>
      <w:marRight w:val="0"/>
      <w:marTop w:val="0"/>
      <w:marBottom w:val="0"/>
      <w:divBdr>
        <w:top w:val="none" w:sz="0" w:space="0" w:color="auto"/>
        <w:left w:val="none" w:sz="0" w:space="0" w:color="auto"/>
        <w:bottom w:val="none" w:sz="0" w:space="0" w:color="auto"/>
        <w:right w:val="none" w:sz="0" w:space="0" w:color="auto"/>
      </w:divBdr>
    </w:div>
    <w:div w:id="971598459">
      <w:bodyDiv w:val="1"/>
      <w:marLeft w:val="0"/>
      <w:marRight w:val="0"/>
      <w:marTop w:val="0"/>
      <w:marBottom w:val="0"/>
      <w:divBdr>
        <w:top w:val="none" w:sz="0" w:space="0" w:color="auto"/>
        <w:left w:val="none" w:sz="0" w:space="0" w:color="auto"/>
        <w:bottom w:val="none" w:sz="0" w:space="0" w:color="auto"/>
        <w:right w:val="none" w:sz="0" w:space="0" w:color="auto"/>
      </w:divBdr>
      <w:divsChild>
        <w:div w:id="55982278">
          <w:marLeft w:val="0"/>
          <w:marRight w:val="0"/>
          <w:marTop w:val="0"/>
          <w:marBottom w:val="0"/>
          <w:divBdr>
            <w:top w:val="none" w:sz="0" w:space="0" w:color="auto"/>
            <w:left w:val="none" w:sz="0" w:space="0" w:color="auto"/>
            <w:bottom w:val="none" w:sz="0" w:space="0" w:color="auto"/>
            <w:right w:val="none" w:sz="0" w:space="0" w:color="auto"/>
          </w:divBdr>
        </w:div>
        <w:div w:id="243690644">
          <w:marLeft w:val="0"/>
          <w:marRight w:val="0"/>
          <w:marTop w:val="0"/>
          <w:marBottom w:val="0"/>
          <w:divBdr>
            <w:top w:val="none" w:sz="0" w:space="0" w:color="auto"/>
            <w:left w:val="none" w:sz="0" w:space="0" w:color="auto"/>
            <w:bottom w:val="none" w:sz="0" w:space="0" w:color="auto"/>
            <w:right w:val="none" w:sz="0" w:space="0" w:color="auto"/>
          </w:divBdr>
        </w:div>
        <w:div w:id="391849907">
          <w:marLeft w:val="0"/>
          <w:marRight w:val="0"/>
          <w:marTop w:val="0"/>
          <w:marBottom w:val="0"/>
          <w:divBdr>
            <w:top w:val="none" w:sz="0" w:space="0" w:color="auto"/>
            <w:left w:val="none" w:sz="0" w:space="0" w:color="auto"/>
            <w:bottom w:val="none" w:sz="0" w:space="0" w:color="auto"/>
            <w:right w:val="none" w:sz="0" w:space="0" w:color="auto"/>
          </w:divBdr>
        </w:div>
        <w:div w:id="506292052">
          <w:marLeft w:val="0"/>
          <w:marRight w:val="0"/>
          <w:marTop w:val="0"/>
          <w:marBottom w:val="0"/>
          <w:divBdr>
            <w:top w:val="none" w:sz="0" w:space="0" w:color="auto"/>
            <w:left w:val="none" w:sz="0" w:space="0" w:color="auto"/>
            <w:bottom w:val="none" w:sz="0" w:space="0" w:color="auto"/>
            <w:right w:val="none" w:sz="0" w:space="0" w:color="auto"/>
          </w:divBdr>
        </w:div>
        <w:div w:id="651374363">
          <w:marLeft w:val="0"/>
          <w:marRight w:val="0"/>
          <w:marTop w:val="0"/>
          <w:marBottom w:val="0"/>
          <w:divBdr>
            <w:top w:val="none" w:sz="0" w:space="0" w:color="auto"/>
            <w:left w:val="none" w:sz="0" w:space="0" w:color="auto"/>
            <w:bottom w:val="none" w:sz="0" w:space="0" w:color="auto"/>
            <w:right w:val="none" w:sz="0" w:space="0" w:color="auto"/>
          </w:divBdr>
        </w:div>
      </w:divsChild>
    </w:div>
    <w:div w:id="973829579">
      <w:bodyDiv w:val="1"/>
      <w:marLeft w:val="0"/>
      <w:marRight w:val="0"/>
      <w:marTop w:val="0"/>
      <w:marBottom w:val="0"/>
      <w:divBdr>
        <w:top w:val="none" w:sz="0" w:space="0" w:color="auto"/>
        <w:left w:val="none" w:sz="0" w:space="0" w:color="auto"/>
        <w:bottom w:val="none" w:sz="0" w:space="0" w:color="auto"/>
        <w:right w:val="none" w:sz="0" w:space="0" w:color="auto"/>
      </w:divBdr>
    </w:div>
    <w:div w:id="1184243584">
      <w:bodyDiv w:val="1"/>
      <w:marLeft w:val="0"/>
      <w:marRight w:val="0"/>
      <w:marTop w:val="0"/>
      <w:marBottom w:val="0"/>
      <w:divBdr>
        <w:top w:val="none" w:sz="0" w:space="0" w:color="auto"/>
        <w:left w:val="none" w:sz="0" w:space="0" w:color="auto"/>
        <w:bottom w:val="none" w:sz="0" w:space="0" w:color="auto"/>
        <w:right w:val="none" w:sz="0" w:space="0" w:color="auto"/>
      </w:divBdr>
      <w:divsChild>
        <w:div w:id="457645912">
          <w:marLeft w:val="446"/>
          <w:marRight w:val="0"/>
          <w:marTop w:val="0"/>
          <w:marBottom w:val="0"/>
          <w:divBdr>
            <w:top w:val="none" w:sz="0" w:space="0" w:color="auto"/>
            <w:left w:val="none" w:sz="0" w:space="0" w:color="auto"/>
            <w:bottom w:val="none" w:sz="0" w:space="0" w:color="auto"/>
            <w:right w:val="none" w:sz="0" w:space="0" w:color="auto"/>
          </w:divBdr>
        </w:div>
        <w:div w:id="1572235508">
          <w:marLeft w:val="446"/>
          <w:marRight w:val="0"/>
          <w:marTop w:val="0"/>
          <w:marBottom w:val="0"/>
          <w:divBdr>
            <w:top w:val="none" w:sz="0" w:space="0" w:color="auto"/>
            <w:left w:val="none" w:sz="0" w:space="0" w:color="auto"/>
            <w:bottom w:val="none" w:sz="0" w:space="0" w:color="auto"/>
            <w:right w:val="none" w:sz="0" w:space="0" w:color="auto"/>
          </w:divBdr>
        </w:div>
        <w:div w:id="1578977780">
          <w:marLeft w:val="446"/>
          <w:marRight w:val="0"/>
          <w:marTop w:val="0"/>
          <w:marBottom w:val="0"/>
          <w:divBdr>
            <w:top w:val="none" w:sz="0" w:space="0" w:color="auto"/>
            <w:left w:val="none" w:sz="0" w:space="0" w:color="auto"/>
            <w:bottom w:val="none" w:sz="0" w:space="0" w:color="auto"/>
            <w:right w:val="none" w:sz="0" w:space="0" w:color="auto"/>
          </w:divBdr>
        </w:div>
      </w:divsChild>
    </w:div>
    <w:div w:id="1187478528">
      <w:bodyDiv w:val="1"/>
      <w:marLeft w:val="0"/>
      <w:marRight w:val="0"/>
      <w:marTop w:val="0"/>
      <w:marBottom w:val="0"/>
      <w:divBdr>
        <w:top w:val="none" w:sz="0" w:space="0" w:color="auto"/>
        <w:left w:val="none" w:sz="0" w:space="0" w:color="auto"/>
        <w:bottom w:val="none" w:sz="0" w:space="0" w:color="auto"/>
        <w:right w:val="none" w:sz="0" w:space="0" w:color="auto"/>
      </w:divBdr>
    </w:div>
    <w:div w:id="1234704210">
      <w:bodyDiv w:val="1"/>
      <w:marLeft w:val="0"/>
      <w:marRight w:val="0"/>
      <w:marTop w:val="0"/>
      <w:marBottom w:val="0"/>
      <w:divBdr>
        <w:top w:val="none" w:sz="0" w:space="0" w:color="auto"/>
        <w:left w:val="none" w:sz="0" w:space="0" w:color="auto"/>
        <w:bottom w:val="none" w:sz="0" w:space="0" w:color="auto"/>
        <w:right w:val="none" w:sz="0" w:space="0" w:color="auto"/>
      </w:divBdr>
    </w:div>
    <w:div w:id="1257321884">
      <w:bodyDiv w:val="1"/>
      <w:marLeft w:val="0"/>
      <w:marRight w:val="0"/>
      <w:marTop w:val="0"/>
      <w:marBottom w:val="0"/>
      <w:divBdr>
        <w:top w:val="none" w:sz="0" w:space="0" w:color="auto"/>
        <w:left w:val="none" w:sz="0" w:space="0" w:color="auto"/>
        <w:bottom w:val="none" w:sz="0" w:space="0" w:color="auto"/>
        <w:right w:val="none" w:sz="0" w:space="0" w:color="auto"/>
      </w:divBdr>
    </w:div>
    <w:div w:id="1265765420">
      <w:bodyDiv w:val="1"/>
      <w:marLeft w:val="0"/>
      <w:marRight w:val="0"/>
      <w:marTop w:val="0"/>
      <w:marBottom w:val="0"/>
      <w:divBdr>
        <w:top w:val="none" w:sz="0" w:space="0" w:color="auto"/>
        <w:left w:val="none" w:sz="0" w:space="0" w:color="auto"/>
        <w:bottom w:val="none" w:sz="0" w:space="0" w:color="auto"/>
        <w:right w:val="none" w:sz="0" w:space="0" w:color="auto"/>
      </w:divBdr>
    </w:div>
    <w:div w:id="1278022602">
      <w:bodyDiv w:val="1"/>
      <w:marLeft w:val="0"/>
      <w:marRight w:val="0"/>
      <w:marTop w:val="0"/>
      <w:marBottom w:val="0"/>
      <w:divBdr>
        <w:top w:val="none" w:sz="0" w:space="0" w:color="auto"/>
        <w:left w:val="none" w:sz="0" w:space="0" w:color="auto"/>
        <w:bottom w:val="none" w:sz="0" w:space="0" w:color="auto"/>
        <w:right w:val="none" w:sz="0" w:space="0" w:color="auto"/>
      </w:divBdr>
    </w:div>
    <w:div w:id="1278682270">
      <w:bodyDiv w:val="1"/>
      <w:marLeft w:val="0"/>
      <w:marRight w:val="0"/>
      <w:marTop w:val="0"/>
      <w:marBottom w:val="0"/>
      <w:divBdr>
        <w:top w:val="none" w:sz="0" w:space="0" w:color="auto"/>
        <w:left w:val="none" w:sz="0" w:space="0" w:color="auto"/>
        <w:bottom w:val="none" w:sz="0" w:space="0" w:color="auto"/>
        <w:right w:val="none" w:sz="0" w:space="0" w:color="auto"/>
      </w:divBdr>
      <w:divsChild>
        <w:div w:id="1295522653">
          <w:marLeft w:val="0"/>
          <w:marRight w:val="0"/>
          <w:marTop w:val="0"/>
          <w:marBottom w:val="0"/>
          <w:divBdr>
            <w:top w:val="none" w:sz="0" w:space="0" w:color="auto"/>
            <w:left w:val="none" w:sz="0" w:space="0" w:color="auto"/>
            <w:bottom w:val="none" w:sz="0" w:space="0" w:color="auto"/>
            <w:right w:val="none" w:sz="0" w:space="0" w:color="auto"/>
          </w:divBdr>
          <w:divsChild>
            <w:div w:id="435831207">
              <w:marLeft w:val="0"/>
              <w:marRight w:val="0"/>
              <w:marTop w:val="0"/>
              <w:marBottom w:val="0"/>
              <w:divBdr>
                <w:top w:val="none" w:sz="0" w:space="0" w:color="auto"/>
                <w:left w:val="none" w:sz="0" w:space="0" w:color="auto"/>
                <w:bottom w:val="none" w:sz="0" w:space="0" w:color="auto"/>
                <w:right w:val="none" w:sz="0" w:space="0" w:color="auto"/>
              </w:divBdr>
              <w:divsChild>
                <w:div w:id="498741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4610735">
          <w:marLeft w:val="0"/>
          <w:marRight w:val="0"/>
          <w:marTop w:val="0"/>
          <w:marBottom w:val="0"/>
          <w:divBdr>
            <w:top w:val="none" w:sz="0" w:space="0" w:color="auto"/>
            <w:left w:val="none" w:sz="0" w:space="0" w:color="auto"/>
            <w:bottom w:val="none" w:sz="0" w:space="0" w:color="auto"/>
            <w:right w:val="none" w:sz="0" w:space="0" w:color="auto"/>
          </w:divBdr>
          <w:divsChild>
            <w:div w:id="2035228166">
              <w:marLeft w:val="0"/>
              <w:marRight w:val="0"/>
              <w:marTop w:val="0"/>
              <w:marBottom w:val="0"/>
              <w:divBdr>
                <w:top w:val="none" w:sz="0" w:space="0" w:color="auto"/>
                <w:left w:val="none" w:sz="0" w:space="0" w:color="auto"/>
                <w:bottom w:val="none" w:sz="0" w:space="0" w:color="auto"/>
                <w:right w:val="none" w:sz="0" w:space="0" w:color="auto"/>
              </w:divBdr>
              <w:divsChild>
                <w:div w:id="1738279519">
                  <w:marLeft w:val="0"/>
                  <w:marRight w:val="0"/>
                  <w:marTop w:val="0"/>
                  <w:marBottom w:val="0"/>
                  <w:divBdr>
                    <w:top w:val="none" w:sz="0" w:space="0" w:color="auto"/>
                    <w:left w:val="none" w:sz="0" w:space="0" w:color="auto"/>
                    <w:bottom w:val="none" w:sz="0" w:space="0" w:color="auto"/>
                    <w:right w:val="none" w:sz="0" w:space="0" w:color="auto"/>
                  </w:divBdr>
                  <w:divsChild>
                    <w:div w:id="155651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7988831">
      <w:bodyDiv w:val="1"/>
      <w:marLeft w:val="0"/>
      <w:marRight w:val="0"/>
      <w:marTop w:val="0"/>
      <w:marBottom w:val="0"/>
      <w:divBdr>
        <w:top w:val="none" w:sz="0" w:space="0" w:color="auto"/>
        <w:left w:val="none" w:sz="0" w:space="0" w:color="auto"/>
        <w:bottom w:val="none" w:sz="0" w:space="0" w:color="auto"/>
        <w:right w:val="none" w:sz="0" w:space="0" w:color="auto"/>
      </w:divBdr>
    </w:div>
    <w:div w:id="1405948973">
      <w:bodyDiv w:val="1"/>
      <w:marLeft w:val="0"/>
      <w:marRight w:val="0"/>
      <w:marTop w:val="0"/>
      <w:marBottom w:val="0"/>
      <w:divBdr>
        <w:top w:val="none" w:sz="0" w:space="0" w:color="auto"/>
        <w:left w:val="none" w:sz="0" w:space="0" w:color="auto"/>
        <w:bottom w:val="none" w:sz="0" w:space="0" w:color="auto"/>
        <w:right w:val="none" w:sz="0" w:space="0" w:color="auto"/>
      </w:divBdr>
    </w:div>
    <w:div w:id="1448230153">
      <w:bodyDiv w:val="1"/>
      <w:marLeft w:val="0"/>
      <w:marRight w:val="0"/>
      <w:marTop w:val="0"/>
      <w:marBottom w:val="0"/>
      <w:divBdr>
        <w:top w:val="none" w:sz="0" w:space="0" w:color="auto"/>
        <w:left w:val="none" w:sz="0" w:space="0" w:color="auto"/>
        <w:bottom w:val="none" w:sz="0" w:space="0" w:color="auto"/>
        <w:right w:val="none" w:sz="0" w:space="0" w:color="auto"/>
      </w:divBdr>
      <w:divsChild>
        <w:div w:id="1044057860">
          <w:blockQuote w:val="1"/>
          <w:marLeft w:val="720"/>
          <w:marRight w:val="720"/>
          <w:marTop w:val="100"/>
          <w:marBottom w:val="100"/>
          <w:divBdr>
            <w:top w:val="none" w:sz="0" w:space="0" w:color="auto"/>
            <w:left w:val="none" w:sz="0" w:space="0" w:color="auto"/>
            <w:bottom w:val="none" w:sz="0" w:space="0" w:color="auto"/>
            <w:right w:val="none" w:sz="0" w:space="0" w:color="auto"/>
          </w:divBdr>
        </w:div>
        <w:div w:id="18156825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69780693">
      <w:bodyDiv w:val="1"/>
      <w:marLeft w:val="0"/>
      <w:marRight w:val="0"/>
      <w:marTop w:val="0"/>
      <w:marBottom w:val="0"/>
      <w:divBdr>
        <w:top w:val="none" w:sz="0" w:space="0" w:color="auto"/>
        <w:left w:val="none" w:sz="0" w:space="0" w:color="auto"/>
        <w:bottom w:val="none" w:sz="0" w:space="0" w:color="auto"/>
        <w:right w:val="none" w:sz="0" w:space="0" w:color="auto"/>
      </w:divBdr>
    </w:div>
    <w:div w:id="1482190971">
      <w:bodyDiv w:val="1"/>
      <w:marLeft w:val="0"/>
      <w:marRight w:val="0"/>
      <w:marTop w:val="0"/>
      <w:marBottom w:val="0"/>
      <w:divBdr>
        <w:top w:val="none" w:sz="0" w:space="0" w:color="auto"/>
        <w:left w:val="none" w:sz="0" w:space="0" w:color="auto"/>
        <w:bottom w:val="none" w:sz="0" w:space="0" w:color="auto"/>
        <w:right w:val="none" w:sz="0" w:space="0" w:color="auto"/>
      </w:divBdr>
    </w:div>
    <w:div w:id="1505704866">
      <w:bodyDiv w:val="1"/>
      <w:marLeft w:val="0"/>
      <w:marRight w:val="0"/>
      <w:marTop w:val="0"/>
      <w:marBottom w:val="0"/>
      <w:divBdr>
        <w:top w:val="none" w:sz="0" w:space="0" w:color="auto"/>
        <w:left w:val="none" w:sz="0" w:space="0" w:color="auto"/>
        <w:bottom w:val="none" w:sz="0" w:space="0" w:color="auto"/>
        <w:right w:val="none" w:sz="0" w:space="0" w:color="auto"/>
      </w:divBdr>
    </w:div>
    <w:div w:id="1557744802">
      <w:bodyDiv w:val="1"/>
      <w:marLeft w:val="0"/>
      <w:marRight w:val="0"/>
      <w:marTop w:val="0"/>
      <w:marBottom w:val="0"/>
      <w:divBdr>
        <w:top w:val="none" w:sz="0" w:space="0" w:color="auto"/>
        <w:left w:val="none" w:sz="0" w:space="0" w:color="auto"/>
        <w:bottom w:val="none" w:sz="0" w:space="0" w:color="auto"/>
        <w:right w:val="none" w:sz="0" w:space="0" w:color="auto"/>
      </w:divBdr>
    </w:div>
    <w:div w:id="1572501059">
      <w:bodyDiv w:val="1"/>
      <w:marLeft w:val="0"/>
      <w:marRight w:val="0"/>
      <w:marTop w:val="0"/>
      <w:marBottom w:val="0"/>
      <w:divBdr>
        <w:top w:val="none" w:sz="0" w:space="0" w:color="auto"/>
        <w:left w:val="none" w:sz="0" w:space="0" w:color="auto"/>
        <w:bottom w:val="none" w:sz="0" w:space="0" w:color="auto"/>
        <w:right w:val="none" w:sz="0" w:space="0" w:color="auto"/>
      </w:divBdr>
    </w:div>
    <w:div w:id="1647196951">
      <w:bodyDiv w:val="1"/>
      <w:marLeft w:val="0"/>
      <w:marRight w:val="0"/>
      <w:marTop w:val="0"/>
      <w:marBottom w:val="0"/>
      <w:divBdr>
        <w:top w:val="none" w:sz="0" w:space="0" w:color="auto"/>
        <w:left w:val="none" w:sz="0" w:space="0" w:color="auto"/>
        <w:bottom w:val="none" w:sz="0" w:space="0" w:color="auto"/>
        <w:right w:val="none" w:sz="0" w:space="0" w:color="auto"/>
      </w:divBdr>
      <w:divsChild>
        <w:div w:id="187376829">
          <w:marLeft w:val="0"/>
          <w:marRight w:val="0"/>
          <w:marTop w:val="0"/>
          <w:marBottom w:val="0"/>
          <w:divBdr>
            <w:top w:val="none" w:sz="0" w:space="0" w:color="auto"/>
            <w:left w:val="none" w:sz="0" w:space="0" w:color="auto"/>
            <w:bottom w:val="none" w:sz="0" w:space="0" w:color="auto"/>
            <w:right w:val="none" w:sz="0" w:space="0" w:color="auto"/>
          </w:divBdr>
        </w:div>
      </w:divsChild>
    </w:div>
    <w:div w:id="1648508451">
      <w:bodyDiv w:val="1"/>
      <w:marLeft w:val="0"/>
      <w:marRight w:val="0"/>
      <w:marTop w:val="0"/>
      <w:marBottom w:val="0"/>
      <w:divBdr>
        <w:top w:val="none" w:sz="0" w:space="0" w:color="auto"/>
        <w:left w:val="none" w:sz="0" w:space="0" w:color="auto"/>
        <w:bottom w:val="none" w:sz="0" w:space="0" w:color="auto"/>
        <w:right w:val="none" w:sz="0" w:space="0" w:color="auto"/>
      </w:divBdr>
    </w:div>
    <w:div w:id="1744141100">
      <w:bodyDiv w:val="1"/>
      <w:marLeft w:val="0"/>
      <w:marRight w:val="0"/>
      <w:marTop w:val="0"/>
      <w:marBottom w:val="0"/>
      <w:divBdr>
        <w:top w:val="none" w:sz="0" w:space="0" w:color="auto"/>
        <w:left w:val="none" w:sz="0" w:space="0" w:color="auto"/>
        <w:bottom w:val="none" w:sz="0" w:space="0" w:color="auto"/>
        <w:right w:val="none" w:sz="0" w:space="0" w:color="auto"/>
      </w:divBdr>
    </w:div>
    <w:div w:id="1746607799">
      <w:bodyDiv w:val="1"/>
      <w:marLeft w:val="0"/>
      <w:marRight w:val="0"/>
      <w:marTop w:val="0"/>
      <w:marBottom w:val="0"/>
      <w:divBdr>
        <w:top w:val="none" w:sz="0" w:space="0" w:color="auto"/>
        <w:left w:val="none" w:sz="0" w:space="0" w:color="auto"/>
        <w:bottom w:val="none" w:sz="0" w:space="0" w:color="auto"/>
        <w:right w:val="none" w:sz="0" w:space="0" w:color="auto"/>
      </w:divBdr>
    </w:div>
    <w:div w:id="1751078726">
      <w:bodyDiv w:val="1"/>
      <w:marLeft w:val="0"/>
      <w:marRight w:val="0"/>
      <w:marTop w:val="0"/>
      <w:marBottom w:val="0"/>
      <w:divBdr>
        <w:top w:val="none" w:sz="0" w:space="0" w:color="auto"/>
        <w:left w:val="none" w:sz="0" w:space="0" w:color="auto"/>
        <w:bottom w:val="none" w:sz="0" w:space="0" w:color="auto"/>
        <w:right w:val="none" w:sz="0" w:space="0" w:color="auto"/>
      </w:divBdr>
    </w:div>
    <w:div w:id="1776092963">
      <w:bodyDiv w:val="1"/>
      <w:marLeft w:val="0"/>
      <w:marRight w:val="0"/>
      <w:marTop w:val="0"/>
      <w:marBottom w:val="0"/>
      <w:divBdr>
        <w:top w:val="none" w:sz="0" w:space="0" w:color="auto"/>
        <w:left w:val="none" w:sz="0" w:space="0" w:color="auto"/>
        <w:bottom w:val="none" w:sz="0" w:space="0" w:color="auto"/>
        <w:right w:val="none" w:sz="0" w:space="0" w:color="auto"/>
      </w:divBdr>
    </w:div>
    <w:div w:id="1794903572">
      <w:bodyDiv w:val="1"/>
      <w:marLeft w:val="0"/>
      <w:marRight w:val="0"/>
      <w:marTop w:val="0"/>
      <w:marBottom w:val="0"/>
      <w:divBdr>
        <w:top w:val="none" w:sz="0" w:space="0" w:color="auto"/>
        <w:left w:val="none" w:sz="0" w:space="0" w:color="auto"/>
        <w:bottom w:val="none" w:sz="0" w:space="0" w:color="auto"/>
        <w:right w:val="none" w:sz="0" w:space="0" w:color="auto"/>
      </w:divBdr>
      <w:divsChild>
        <w:div w:id="1261450678">
          <w:marLeft w:val="0"/>
          <w:marRight w:val="0"/>
          <w:marTop w:val="0"/>
          <w:marBottom w:val="0"/>
          <w:divBdr>
            <w:top w:val="none" w:sz="0" w:space="0" w:color="auto"/>
            <w:left w:val="none" w:sz="0" w:space="0" w:color="auto"/>
            <w:bottom w:val="none" w:sz="0" w:space="0" w:color="auto"/>
            <w:right w:val="none" w:sz="0" w:space="0" w:color="auto"/>
          </w:divBdr>
        </w:div>
      </w:divsChild>
    </w:div>
    <w:div w:id="1795782002">
      <w:bodyDiv w:val="1"/>
      <w:marLeft w:val="0"/>
      <w:marRight w:val="0"/>
      <w:marTop w:val="0"/>
      <w:marBottom w:val="0"/>
      <w:divBdr>
        <w:top w:val="none" w:sz="0" w:space="0" w:color="auto"/>
        <w:left w:val="none" w:sz="0" w:space="0" w:color="auto"/>
        <w:bottom w:val="none" w:sz="0" w:space="0" w:color="auto"/>
        <w:right w:val="none" w:sz="0" w:space="0" w:color="auto"/>
      </w:divBdr>
    </w:div>
    <w:div w:id="1816871691">
      <w:bodyDiv w:val="1"/>
      <w:marLeft w:val="0"/>
      <w:marRight w:val="0"/>
      <w:marTop w:val="0"/>
      <w:marBottom w:val="0"/>
      <w:divBdr>
        <w:top w:val="none" w:sz="0" w:space="0" w:color="auto"/>
        <w:left w:val="none" w:sz="0" w:space="0" w:color="auto"/>
        <w:bottom w:val="none" w:sz="0" w:space="0" w:color="auto"/>
        <w:right w:val="none" w:sz="0" w:space="0" w:color="auto"/>
      </w:divBdr>
      <w:divsChild>
        <w:div w:id="376900138">
          <w:marLeft w:val="446"/>
          <w:marRight w:val="0"/>
          <w:marTop w:val="0"/>
          <w:marBottom w:val="0"/>
          <w:divBdr>
            <w:top w:val="none" w:sz="0" w:space="0" w:color="auto"/>
            <w:left w:val="none" w:sz="0" w:space="0" w:color="auto"/>
            <w:bottom w:val="none" w:sz="0" w:space="0" w:color="auto"/>
            <w:right w:val="none" w:sz="0" w:space="0" w:color="auto"/>
          </w:divBdr>
        </w:div>
        <w:div w:id="662856445">
          <w:marLeft w:val="446"/>
          <w:marRight w:val="0"/>
          <w:marTop w:val="0"/>
          <w:marBottom w:val="0"/>
          <w:divBdr>
            <w:top w:val="none" w:sz="0" w:space="0" w:color="auto"/>
            <w:left w:val="none" w:sz="0" w:space="0" w:color="auto"/>
            <w:bottom w:val="none" w:sz="0" w:space="0" w:color="auto"/>
            <w:right w:val="none" w:sz="0" w:space="0" w:color="auto"/>
          </w:divBdr>
        </w:div>
        <w:div w:id="2061662718">
          <w:marLeft w:val="446"/>
          <w:marRight w:val="0"/>
          <w:marTop w:val="0"/>
          <w:marBottom w:val="0"/>
          <w:divBdr>
            <w:top w:val="none" w:sz="0" w:space="0" w:color="auto"/>
            <w:left w:val="none" w:sz="0" w:space="0" w:color="auto"/>
            <w:bottom w:val="none" w:sz="0" w:space="0" w:color="auto"/>
            <w:right w:val="none" w:sz="0" w:space="0" w:color="auto"/>
          </w:divBdr>
        </w:div>
      </w:divsChild>
    </w:div>
    <w:div w:id="1892761429">
      <w:bodyDiv w:val="1"/>
      <w:marLeft w:val="0"/>
      <w:marRight w:val="0"/>
      <w:marTop w:val="0"/>
      <w:marBottom w:val="0"/>
      <w:divBdr>
        <w:top w:val="none" w:sz="0" w:space="0" w:color="auto"/>
        <w:left w:val="none" w:sz="0" w:space="0" w:color="auto"/>
        <w:bottom w:val="none" w:sz="0" w:space="0" w:color="auto"/>
        <w:right w:val="none" w:sz="0" w:space="0" w:color="auto"/>
      </w:divBdr>
    </w:div>
    <w:div w:id="1893424128">
      <w:bodyDiv w:val="1"/>
      <w:marLeft w:val="0"/>
      <w:marRight w:val="0"/>
      <w:marTop w:val="0"/>
      <w:marBottom w:val="0"/>
      <w:divBdr>
        <w:top w:val="none" w:sz="0" w:space="0" w:color="auto"/>
        <w:left w:val="none" w:sz="0" w:space="0" w:color="auto"/>
        <w:bottom w:val="none" w:sz="0" w:space="0" w:color="auto"/>
        <w:right w:val="none" w:sz="0" w:space="0" w:color="auto"/>
      </w:divBdr>
    </w:div>
    <w:div w:id="1915160137">
      <w:bodyDiv w:val="1"/>
      <w:marLeft w:val="0"/>
      <w:marRight w:val="0"/>
      <w:marTop w:val="0"/>
      <w:marBottom w:val="0"/>
      <w:divBdr>
        <w:top w:val="none" w:sz="0" w:space="0" w:color="auto"/>
        <w:left w:val="none" w:sz="0" w:space="0" w:color="auto"/>
        <w:bottom w:val="none" w:sz="0" w:space="0" w:color="auto"/>
        <w:right w:val="none" w:sz="0" w:space="0" w:color="auto"/>
      </w:divBdr>
    </w:div>
    <w:div w:id="1956595691">
      <w:bodyDiv w:val="1"/>
      <w:marLeft w:val="0"/>
      <w:marRight w:val="0"/>
      <w:marTop w:val="0"/>
      <w:marBottom w:val="0"/>
      <w:divBdr>
        <w:top w:val="none" w:sz="0" w:space="0" w:color="auto"/>
        <w:left w:val="none" w:sz="0" w:space="0" w:color="auto"/>
        <w:bottom w:val="none" w:sz="0" w:space="0" w:color="auto"/>
        <w:right w:val="none" w:sz="0" w:space="0" w:color="auto"/>
      </w:divBdr>
    </w:div>
    <w:div w:id="1964261649">
      <w:bodyDiv w:val="1"/>
      <w:marLeft w:val="0"/>
      <w:marRight w:val="0"/>
      <w:marTop w:val="0"/>
      <w:marBottom w:val="0"/>
      <w:divBdr>
        <w:top w:val="none" w:sz="0" w:space="0" w:color="auto"/>
        <w:left w:val="none" w:sz="0" w:space="0" w:color="auto"/>
        <w:bottom w:val="none" w:sz="0" w:space="0" w:color="auto"/>
        <w:right w:val="none" w:sz="0" w:space="0" w:color="auto"/>
      </w:divBdr>
    </w:div>
    <w:div w:id="1984655661">
      <w:bodyDiv w:val="1"/>
      <w:marLeft w:val="0"/>
      <w:marRight w:val="0"/>
      <w:marTop w:val="0"/>
      <w:marBottom w:val="0"/>
      <w:divBdr>
        <w:top w:val="none" w:sz="0" w:space="0" w:color="auto"/>
        <w:left w:val="none" w:sz="0" w:space="0" w:color="auto"/>
        <w:bottom w:val="none" w:sz="0" w:space="0" w:color="auto"/>
        <w:right w:val="none" w:sz="0" w:space="0" w:color="auto"/>
      </w:divBdr>
    </w:div>
    <w:div w:id="2004698423">
      <w:bodyDiv w:val="1"/>
      <w:marLeft w:val="0"/>
      <w:marRight w:val="0"/>
      <w:marTop w:val="0"/>
      <w:marBottom w:val="0"/>
      <w:divBdr>
        <w:top w:val="none" w:sz="0" w:space="0" w:color="auto"/>
        <w:left w:val="none" w:sz="0" w:space="0" w:color="auto"/>
        <w:bottom w:val="none" w:sz="0" w:space="0" w:color="auto"/>
        <w:right w:val="none" w:sz="0" w:space="0" w:color="auto"/>
      </w:divBdr>
      <w:divsChild>
        <w:div w:id="668405653">
          <w:marLeft w:val="0"/>
          <w:marRight w:val="0"/>
          <w:marTop w:val="0"/>
          <w:marBottom w:val="0"/>
          <w:divBdr>
            <w:top w:val="none" w:sz="0" w:space="0" w:color="auto"/>
            <w:left w:val="none" w:sz="0" w:space="0" w:color="auto"/>
            <w:bottom w:val="none" w:sz="0" w:space="0" w:color="auto"/>
            <w:right w:val="none" w:sz="0" w:space="0" w:color="auto"/>
          </w:divBdr>
        </w:div>
        <w:div w:id="1157453352">
          <w:marLeft w:val="0"/>
          <w:marRight w:val="0"/>
          <w:marTop w:val="0"/>
          <w:marBottom w:val="0"/>
          <w:divBdr>
            <w:top w:val="none" w:sz="0" w:space="0" w:color="auto"/>
            <w:left w:val="none" w:sz="0" w:space="0" w:color="auto"/>
            <w:bottom w:val="none" w:sz="0" w:space="0" w:color="auto"/>
            <w:right w:val="none" w:sz="0" w:space="0" w:color="auto"/>
          </w:divBdr>
        </w:div>
        <w:div w:id="1332488461">
          <w:marLeft w:val="0"/>
          <w:marRight w:val="0"/>
          <w:marTop w:val="0"/>
          <w:marBottom w:val="0"/>
          <w:divBdr>
            <w:top w:val="none" w:sz="0" w:space="0" w:color="auto"/>
            <w:left w:val="none" w:sz="0" w:space="0" w:color="auto"/>
            <w:bottom w:val="none" w:sz="0" w:space="0" w:color="auto"/>
            <w:right w:val="none" w:sz="0" w:space="0" w:color="auto"/>
          </w:divBdr>
        </w:div>
      </w:divsChild>
    </w:div>
    <w:div w:id="2014800903">
      <w:bodyDiv w:val="1"/>
      <w:marLeft w:val="0"/>
      <w:marRight w:val="0"/>
      <w:marTop w:val="0"/>
      <w:marBottom w:val="0"/>
      <w:divBdr>
        <w:top w:val="none" w:sz="0" w:space="0" w:color="auto"/>
        <w:left w:val="none" w:sz="0" w:space="0" w:color="auto"/>
        <w:bottom w:val="none" w:sz="0" w:space="0" w:color="auto"/>
        <w:right w:val="none" w:sz="0" w:space="0" w:color="auto"/>
      </w:divBdr>
      <w:divsChild>
        <w:div w:id="12076046">
          <w:marLeft w:val="461"/>
          <w:marRight w:val="0"/>
          <w:marTop w:val="89"/>
          <w:marBottom w:val="0"/>
          <w:divBdr>
            <w:top w:val="none" w:sz="0" w:space="0" w:color="auto"/>
            <w:left w:val="none" w:sz="0" w:space="0" w:color="auto"/>
            <w:bottom w:val="none" w:sz="0" w:space="0" w:color="auto"/>
            <w:right w:val="none" w:sz="0" w:space="0" w:color="auto"/>
          </w:divBdr>
        </w:div>
        <w:div w:id="479229704">
          <w:marLeft w:val="461"/>
          <w:marRight w:val="0"/>
          <w:marTop w:val="89"/>
          <w:marBottom w:val="0"/>
          <w:divBdr>
            <w:top w:val="none" w:sz="0" w:space="0" w:color="auto"/>
            <w:left w:val="none" w:sz="0" w:space="0" w:color="auto"/>
            <w:bottom w:val="none" w:sz="0" w:space="0" w:color="auto"/>
            <w:right w:val="none" w:sz="0" w:space="0" w:color="auto"/>
          </w:divBdr>
        </w:div>
        <w:div w:id="1204559210">
          <w:marLeft w:val="461"/>
          <w:marRight w:val="0"/>
          <w:marTop w:val="89"/>
          <w:marBottom w:val="0"/>
          <w:divBdr>
            <w:top w:val="none" w:sz="0" w:space="0" w:color="auto"/>
            <w:left w:val="none" w:sz="0" w:space="0" w:color="auto"/>
            <w:bottom w:val="none" w:sz="0" w:space="0" w:color="auto"/>
            <w:right w:val="none" w:sz="0" w:space="0" w:color="auto"/>
          </w:divBdr>
        </w:div>
        <w:div w:id="1732993701">
          <w:marLeft w:val="461"/>
          <w:marRight w:val="0"/>
          <w:marTop w:val="89"/>
          <w:marBottom w:val="0"/>
          <w:divBdr>
            <w:top w:val="none" w:sz="0" w:space="0" w:color="auto"/>
            <w:left w:val="none" w:sz="0" w:space="0" w:color="auto"/>
            <w:bottom w:val="none" w:sz="0" w:space="0" w:color="auto"/>
            <w:right w:val="none" w:sz="0" w:space="0" w:color="auto"/>
          </w:divBdr>
        </w:div>
      </w:divsChild>
    </w:div>
    <w:div w:id="2036805028">
      <w:bodyDiv w:val="1"/>
      <w:marLeft w:val="0"/>
      <w:marRight w:val="0"/>
      <w:marTop w:val="0"/>
      <w:marBottom w:val="0"/>
      <w:divBdr>
        <w:top w:val="none" w:sz="0" w:space="0" w:color="auto"/>
        <w:left w:val="none" w:sz="0" w:space="0" w:color="auto"/>
        <w:bottom w:val="none" w:sz="0" w:space="0" w:color="auto"/>
        <w:right w:val="none" w:sz="0" w:space="0" w:color="auto"/>
      </w:divBdr>
      <w:divsChild>
        <w:div w:id="335159131">
          <w:marLeft w:val="0"/>
          <w:marRight w:val="0"/>
          <w:marTop w:val="0"/>
          <w:marBottom w:val="0"/>
          <w:divBdr>
            <w:top w:val="none" w:sz="0" w:space="0" w:color="auto"/>
            <w:left w:val="none" w:sz="0" w:space="0" w:color="auto"/>
            <w:bottom w:val="none" w:sz="0" w:space="0" w:color="auto"/>
            <w:right w:val="none" w:sz="0" w:space="0" w:color="auto"/>
          </w:divBdr>
        </w:div>
        <w:div w:id="574097253">
          <w:marLeft w:val="0"/>
          <w:marRight w:val="0"/>
          <w:marTop w:val="0"/>
          <w:marBottom w:val="0"/>
          <w:divBdr>
            <w:top w:val="none" w:sz="0" w:space="0" w:color="auto"/>
            <w:left w:val="none" w:sz="0" w:space="0" w:color="auto"/>
            <w:bottom w:val="none" w:sz="0" w:space="0" w:color="auto"/>
            <w:right w:val="none" w:sz="0" w:space="0" w:color="auto"/>
          </w:divBdr>
        </w:div>
        <w:div w:id="881093509">
          <w:marLeft w:val="0"/>
          <w:marRight w:val="0"/>
          <w:marTop w:val="0"/>
          <w:marBottom w:val="0"/>
          <w:divBdr>
            <w:top w:val="none" w:sz="0" w:space="0" w:color="auto"/>
            <w:left w:val="none" w:sz="0" w:space="0" w:color="auto"/>
            <w:bottom w:val="none" w:sz="0" w:space="0" w:color="auto"/>
            <w:right w:val="none" w:sz="0" w:space="0" w:color="auto"/>
          </w:divBdr>
        </w:div>
        <w:div w:id="921643542">
          <w:marLeft w:val="0"/>
          <w:marRight w:val="0"/>
          <w:marTop w:val="0"/>
          <w:marBottom w:val="0"/>
          <w:divBdr>
            <w:top w:val="none" w:sz="0" w:space="0" w:color="auto"/>
            <w:left w:val="none" w:sz="0" w:space="0" w:color="auto"/>
            <w:bottom w:val="none" w:sz="0" w:space="0" w:color="auto"/>
            <w:right w:val="none" w:sz="0" w:space="0" w:color="auto"/>
          </w:divBdr>
        </w:div>
        <w:div w:id="2031644567">
          <w:marLeft w:val="0"/>
          <w:marRight w:val="0"/>
          <w:marTop w:val="0"/>
          <w:marBottom w:val="0"/>
          <w:divBdr>
            <w:top w:val="none" w:sz="0" w:space="0" w:color="auto"/>
            <w:left w:val="none" w:sz="0" w:space="0" w:color="auto"/>
            <w:bottom w:val="none" w:sz="0" w:space="0" w:color="auto"/>
            <w:right w:val="none" w:sz="0" w:space="0" w:color="auto"/>
          </w:divBdr>
        </w:div>
        <w:div w:id="2104065051">
          <w:marLeft w:val="0"/>
          <w:marRight w:val="0"/>
          <w:marTop w:val="0"/>
          <w:marBottom w:val="0"/>
          <w:divBdr>
            <w:top w:val="none" w:sz="0" w:space="0" w:color="auto"/>
            <w:left w:val="none" w:sz="0" w:space="0" w:color="auto"/>
            <w:bottom w:val="none" w:sz="0" w:space="0" w:color="auto"/>
            <w:right w:val="none" w:sz="0" w:space="0" w:color="auto"/>
          </w:divBdr>
        </w:div>
      </w:divsChild>
    </w:div>
    <w:div w:id="20708799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diagramLayout" Target="diagrams/layout1.xml"/><Relationship Id="rId21" Type="http://schemas.openxmlformats.org/officeDocument/2006/relationships/hyperlink" Target="http://www.ecorys.pl" TargetMode="External"/><Relationship Id="rId42" Type="http://schemas.openxmlformats.org/officeDocument/2006/relationships/image" Target="media/image22.emf"/><Relationship Id="rId47" Type="http://schemas.openxmlformats.org/officeDocument/2006/relationships/image" Target="media/image27.emf"/><Relationship Id="rId63" Type="http://schemas.openxmlformats.org/officeDocument/2006/relationships/image" Target="media/image43.emf"/><Relationship Id="rId68" Type="http://schemas.openxmlformats.org/officeDocument/2006/relationships/image" Target="media/image48.emf"/><Relationship Id="rId2" Type="http://schemas.openxmlformats.org/officeDocument/2006/relationships/customXml" Target="../customXml/item2.xml"/><Relationship Id="rId16" Type="http://schemas.openxmlformats.org/officeDocument/2006/relationships/image" Target="media/image6.png"/><Relationship Id="rId29" Type="http://schemas.microsoft.com/office/2007/relationships/diagramDrawing" Target="diagrams/drawing1.xml"/><Relationship Id="rId11" Type="http://schemas.openxmlformats.org/officeDocument/2006/relationships/image" Target="media/image1.png"/><Relationship Id="rId24" Type="http://schemas.openxmlformats.org/officeDocument/2006/relationships/image" Target="media/image9.png"/><Relationship Id="rId32" Type="http://schemas.openxmlformats.org/officeDocument/2006/relationships/image" Target="media/image12.emf"/><Relationship Id="rId37" Type="http://schemas.openxmlformats.org/officeDocument/2006/relationships/image" Target="media/image17.emf"/><Relationship Id="rId40" Type="http://schemas.openxmlformats.org/officeDocument/2006/relationships/image" Target="media/image20.emf"/><Relationship Id="rId45" Type="http://schemas.openxmlformats.org/officeDocument/2006/relationships/image" Target="media/image25.emf"/><Relationship Id="rId53" Type="http://schemas.openxmlformats.org/officeDocument/2006/relationships/image" Target="media/image33.emf"/><Relationship Id="rId58" Type="http://schemas.openxmlformats.org/officeDocument/2006/relationships/image" Target="media/image38.emf"/><Relationship Id="rId66" Type="http://schemas.openxmlformats.org/officeDocument/2006/relationships/image" Target="media/image46.emf"/><Relationship Id="rId74" Type="http://schemas.openxmlformats.org/officeDocument/2006/relationships/footer" Target="footer1.xml"/><Relationship Id="rId5" Type="http://schemas.openxmlformats.org/officeDocument/2006/relationships/numbering" Target="numbering.xml"/><Relationship Id="rId61" Type="http://schemas.openxmlformats.org/officeDocument/2006/relationships/image" Target="media/image41.emf"/><Relationship Id="rId19" Type="http://schemas.openxmlformats.org/officeDocument/2006/relationships/image" Target="media/image8.png"/><Relationship Id="rId14" Type="http://schemas.openxmlformats.org/officeDocument/2006/relationships/image" Target="media/image4.png"/><Relationship Id="rId22" Type="http://schemas.openxmlformats.org/officeDocument/2006/relationships/hyperlink" Target="mailto:office@wise-europa.eu" TargetMode="External"/><Relationship Id="rId27" Type="http://schemas.openxmlformats.org/officeDocument/2006/relationships/diagramQuickStyle" Target="diagrams/quickStyle1.xml"/><Relationship Id="rId30" Type="http://schemas.openxmlformats.org/officeDocument/2006/relationships/image" Target="media/image10.emf"/><Relationship Id="rId35" Type="http://schemas.openxmlformats.org/officeDocument/2006/relationships/image" Target="media/image15.emf"/><Relationship Id="rId43" Type="http://schemas.openxmlformats.org/officeDocument/2006/relationships/image" Target="media/image23.emf"/><Relationship Id="rId48" Type="http://schemas.openxmlformats.org/officeDocument/2006/relationships/image" Target="media/image28.emf"/><Relationship Id="rId56" Type="http://schemas.openxmlformats.org/officeDocument/2006/relationships/image" Target="media/image36.emf"/><Relationship Id="rId64" Type="http://schemas.openxmlformats.org/officeDocument/2006/relationships/image" Target="media/image44.emf"/><Relationship Id="rId69" Type="http://schemas.openxmlformats.org/officeDocument/2006/relationships/image" Target="media/image49.emf"/><Relationship Id="rId8" Type="http://schemas.openxmlformats.org/officeDocument/2006/relationships/webSettings" Target="webSettings.xml"/><Relationship Id="rId51" Type="http://schemas.openxmlformats.org/officeDocument/2006/relationships/image" Target="media/image31.emf"/><Relationship Id="rId72" Type="http://schemas.openxmlformats.org/officeDocument/2006/relationships/image" Target="media/image52.emf"/><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diagramData" Target="diagrams/data1.xml"/><Relationship Id="rId33" Type="http://schemas.openxmlformats.org/officeDocument/2006/relationships/image" Target="media/image13.emf"/><Relationship Id="rId38" Type="http://schemas.openxmlformats.org/officeDocument/2006/relationships/image" Target="media/image18.emf"/><Relationship Id="rId46" Type="http://schemas.openxmlformats.org/officeDocument/2006/relationships/image" Target="media/image26.emf"/><Relationship Id="rId59" Type="http://schemas.openxmlformats.org/officeDocument/2006/relationships/image" Target="media/image39.emf"/><Relationship Id="rId67" Type="http://schemas.openxmlformats.org/officeDocument/2006/relationships/image" Target="media/image47.emf"/><Relationship Id="rId20" Type="http://schemas.openxmlformats.org/officeDocument/2006/relationships/hyperlink" Target="mailto:ecorys@ecorys.pl" TargetMode="External"/><Relationship Id="rId41" Type="http://schemas.openxmlformats.org/officeDocument/2006/relationships/image" Target="media/image21.emf"/><Relationship Id="rId54" Type="http://schemas.openxmlformats.org/officeDocument/2006/relationships/image" Target="media/image34.emf"/><Relationship Id="rId62" Type="http://schemas.openxmlformats.org/officeDocument/2006/relationships/image" Target="media/image42.emf"/><Relationship Id="rId70" Type="http://schemas.openxmlformats.org/officeDocument/2006/relationships/image" Target="media/image50.emf"/><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jpeg"/><Relationship Id="rId23" Type="http://schemas.openxmlformats.org/officeDocument/2006/relationships/hyperlink" Target="http://www.wise-europa.eu" TargetMode="External"/><Relationship Id="rId28" Type="http://schemas.openxmlformats.org/officeDocument/2006/relationships/diagramColors" Target="diagrams/colors1.xml"/><Relationship Id="rId36" Type="http://schemas.openxmlformats.org/officeDocument/2006/relationships/image" Target="media/image16.emf"/><Relationship Id="rId49" Type="http://schemas.openxmlformats.org/officeDocument/2006/relationships/image" Target="media/image29.emf"/><Relationship Id="rId57" Type="http://schemas.openxmlformats.org/officeDocument/2006/relationships/image" Target="media/image37.emf"/><Relationship Id="rId10" Type="http://schemas.openxmlformats.org/officeDocument/2006/relationships/endnotes" Target="endnotes.xml"/><Relationship Id="rId31" Type="http://schemas.openxmlformats.org/officeDocument/2006/relationships/image" Target="media/image11.emf"/><Relationship Id="rId44" Type="http://schemas.openxmlformats.org/officeDocument/2006/relationships/image" Target="media/image24.emf"/><Relationship Id="rId52" Type="http://schemas.openxmlformats.org/officeDocument/2006/relationships/image" Target="media/image32.emf"/><Relationship Id="rId60" Type="http://schemas.openxmlformats.org/officeDocument/2006/relationships/image" Target="media/image40.emf"/><Relationship Id="rId65" Type="http://schemas.openxmlformats.org/officeDocument/2006/relationships/image" Target="media/image45.emf"/><Relationship Id="rId73"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5.png"/><Relationship Id="rId39" Type="http://schemas.openxmlformats.org/officeDocument/2006/relationships/image" Target="media/image19.emf"/><Relationship Id="rId34" Type="http://schemas.openxmlformats.org/officeDocument/2006/relationships/image" Target="media/image14.emf"/><Relationship Id="rId50" Type="http://schemas.openxmlformats.org/officeDocument/2006/relationships/image" Target="media/image30.emf"/><Relationship Id="rId55" Type="http://schemas.openxmlformats.org/officeDocument/2006/relationships/image" Target="media/image35.emf"/><Relationship Id="rId76"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image" Target="media/image51.emf"/></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07D48D5-8D3A-4479-A987-2509803D1C65}" type="doc">
      <dgm:prSet loTypeId="urn:microsoft.com/office/officeart/2008/layout/NameandTitleOrganizationalChart" loCatId="hierarchy" qsTypeId="urn:microsoft.com/office/officeart/2005/8/quickstyle/simple1" qsCatId="simple" csTypeId="urn:microsoft.com/office/officeart/2005/8/colors/accent1_2" csCatId="accent1" phldr="1"/>
      <dgm:spPr/>
      <dgm:t>
        <a:bodyPr/>
        <a:lstStyle/>
        <a:p>
          <a:endParaRPr lang="pl-PL"/>
        </a:p>
      </dgm:t>
    </dgm:pt>
    <dgm:pt modelId="{3B17E1D4-9AB8-4474-BA2F-710BF10F5956}">
      <dgm:prSet phldrT="[Tekst]" custT="1"/>
      <dgm:spPr>
        <a:xfrm>
          <a:off x="2234168" y="396"/>
          <a:ext cx="925512" cy="479189"/>
        </a:xfrm>
      </dgm:spPr>
      <dgm:t>
        <a:bodyPr/>
        <a:lstStyle/>
        <a:p>
          <a:pPr algn="ctr">
            <a:buNone/>
          </a:pPr>
          <a:r>
            <a:rPr lang="pl-PL" sz="1400">
              <a:latin typeface="Calibri" panose="020F0502020204030204"/>
              <a:ea typeface="+mn-ea"/>
              <a:cs typeface="+mn-cs"/>
            </a:rPr>
            <a:t>Polska</a:t>
          </a:r>
          <a:endParaRPr lang="pl-PL" sz="1800">
            <a:latin typeface="Calibri" panose="020F0502020204030204"/>
            <a:ea typeface="+mn-ea"/>
            <a:cs typeface="+mn-cs"/>
          </a:endParaRPr>
        </a:p>
      </dgm:t>
    </dgm:pt>
    <dgm:pt modelId="{E5FB4520-01A3-4841-8E2D-A236B09E839A}" type="parTrans" cxnId="{21208F4E-F769-40F0-AD45-01AA52102EF7}">
      <dgm:prSet/>
      <dgm:spPr/>
      <dgm:t>
        <a:bodyPr/>
        <a:lstStyle/>
        <a:p>
          <a:pPr algn="ctr"/>
          <a:endParaRPr lang="pl-PL" sz="1400"/>
        </a:p>
      </dgm:t>
    </dgm:pt>
    <dgm:pt modelId="{024AA126-0473-402E-A7B2-4E51F73A1E4C}" type="sibTrans" cxnId="{21208F4E-F769-40F0-AD45-01AA52102EF7}">
      <dgm:prSet custT="1"/>
      <dgm:spPr>
        <a:xfrm>
          <a:off x="2419270" y="373099"/>
          <a:ext cx="832961" cy="159729"/>
        </a:xfrm>
      </dgm:spPr>
      <dgm:t>
        <a:bodyPr/>
        <a:lstStyle/>
        <a:p>
          <a:pPr algn="ctr">
            <a:buNone/>
          </a:pPr>
          <a:r>
            <a:rPr lang="pl-PL" sz="600">
              <a:latin typeface="Calibri" panose="020F0502020204030204"/>
              <a:ea typeface="+mn-ea"/>
              <a:cs typeface="+mn-cs"/>
            </a:rPr>
            <a:t>Model krajowy, interwencja krajowa</a:t>
          </a:r>
        </a:p>
      </dgm:t>
    </dgm:pt>
    <dgm:pt modelId="{3DCBAEA1-EA87-40E2-B5A7-E3CD30AB1BD8}" type="asst">
      <dgm:prSet phldrT="[Tekst]" custT="1"/>
      <dgm:spPr>
        <a:xfrm>
          <a:off x="738040" y="818630"/>
          <a:ext cx="1893348" cy="354830"/>
        </a:xfrm>
      </dgm:spPr>
      <dgm:t>
        <a:bodyPr/>
        <a:lstStyle/>
        <a:p>
          <a:pPr algn="ctr">
            <a:buNone/>
          </a:pPr>
          <a:r>
            <a:rPr lang="pl-PL" sz="1400">
              <a:latin typeface="Calibri" panose="020F0502020204030204"/>
              <a:ea typeface="+mn-ea"/>
              <a:cs typeface="+mn-cs"/>
            </a:rPr>
            <a:t>Moduł</a:t>
          </a:r>
          <a:r>
            <a:rPr lang="pl-PL" sz="1800">
              <a:latin typeface="Calibri" panose="020F0502020204030204"/>
              <a:ea typeface="+mn-ea"/>
              <a:cs typeface="+mn-cs"/>
            </a:rPr>
            <a:t> </a:t>
          </a:r>
          <a:r>
            <a:rPr lang="pl-PL" sz="1400">
              <a:latin typeface="Calibri" panose="020F0502020204030204"/>
              <a:ea typeface="+mn-ea"/>
              <a:cs typeface="+mn-cs"/>
            </a:rPr>
            <a:t>agregacji</a:t>
          </a:r>
          <a:endParaRPr lang="pl-PL" sz="1800">
            <a:latin typeface="Calibri" panose="020F0502020204030204"/>
            <a:ea typeface="+mn-ea"/>
            <a:cs typeface="+mn-cs"/>
          </a:endParaRPr>
        </a:p>
      </dgm:t>
      <dgm:extLst>
        <a:ext uri="{E40237B7-FDA0-4F09-8148-C483321AD2D9}">
          <dgm14:cNvPr xmlns:dgm14="http://schemas.microsoft.com/office/drawing/2010/diagram" id="0" name="" descr="Schemat 2. Modele krajowe i regionalne w VESPA"/>
        </a:ext>
      </dgm:extLst>
    </dgm:pt>
    <dgm:pt modelId="{F9662E8A-F6C4-4789-AAE2-64A17E18E713}" type="parTrans" cxnId="{72D3119D-719A-4D5F-87F5-3EA491BFB50E}">
      <dgm:prSet/>
      <dgm:spPr>
        <a:xfrm>
          <a:off x="2585669" y="479586"/>
          <a:ext cx="91440" cy="516459"/>
        </a:xfrm>
      </dgm:spPr>
      <dgm:t>
        <a:bodyPr/>
        <a:lstStyle/>
        <a:p>
          <a:pPr algn="ctr"/>
          <a:endParaRPr lang="pl-PL" sz="1400"/>
        </a:p>
      </dgm:t>
    </dgm:pt>
    <dgm:pt modelId="{B8C4AE11-A076-4CAB-BE17-DA419940AA35}" type="sibTrans" cxnId="{72D3119D-719A-4D5F-87F5-3EA491BFB50E}">
      <dgm:prSet custT="1"/>
      <dgm:spPr>
        <a:xfrm>
          <a:off x="1831837" y="1119608"/>
          <a:ext cx="832961" cy="159729"/>
        </a:xfrm>
      </dgm:spPr>
      <dgm:t>
        <a:bodyPr/>
        <a:lstStyle/>
        <a:p>
          <a:pPr algn="ctr">
            <a:buNone/>
          </a:pPr>
          <a:r>
            <a:rPr lang="pl-PL" sz="600">
              <a:latin typeface="Calibri" panose="020F0502020204030204"/>
              <a:ea typeface="+mn-ea"/>
              <a:cs typeface="+mn-cs"/>
            </a:rPr>
            <a:t>Uwzględnienie wymiany między regionami</a:t>
          </a:r>
        </a:p>
      </dgm:t>
    </dgm:pt>
    <dgm:pt modelId="{11CB7AA6-9992-4AA7-83FF-F7FC40BD14C8}">
      <dgm:prSet phldrT="[Tekst]" custT="1"/>
      <dgm:spPr>
        <a:xfrm>
          <a:off x="371639" y="1512505"/>
          <a:ext cx="925512" cy="479189"/>
        </a:xfrm>
        <a:solidFill>
          <a:schemeClr val="accent1"/>
        </a:solidFill>
      </dgm:spPr>
      <dgm:t>
        <a:bodyPr/>
        <a:lstStyle/>
        <a:p>
          <a:pPr algn="ctr">
            <a:buNone/>
          </a:pPr>
          <a:r>
            <a:rPr lang="pl-PL" sz="1400">
              <a:latin typeface="Calibri" panose="020F0502020204030204"/>
              <a:ea typeface="+mn-ea"/>
              <a:cs typeface="+mn-cs"/>
            </a:rPr>
            <a:t>Region 1</a:t>
          </a:r>
        </a:p>
      </dgm:t>
    </dgm:pt>
    <dgm:pt modelId="{943A4B21-1C0B-4D5F-BCA6-F76300B70A66}" type="parTrans" cxnId="{3E60831F-23A7-4BFA-9AAC-5181C70BA796}">
      <dgm:prSet/>
      <dgm:spPr>
        <a:xfrm>
          <a:off x="834396" y="479586"/>
          <a:ext cx="1862528" cy="1032919"/>
        </a:xfrm>
      </dgm:spPr>
      <dgm:t>
        <a:bodyPr/>
        <a:lstStyle/>
        <a:p>
          <a:pPr algn="ctr"/>
          <a:endParaRPr lang="pl-PL" sz="1400"/>
        </a:p>
      </dgm:t>
    </dgm:pt>
    <dgm:pt modelId="{5B9121CC-EA8D-4C0F-A17F-628FB44D5428}" type="sibTrans" cxnId="{3E60831F-23A7-4BFA-9AAC-5181C70BA796}">
      <dgm:prSet custT="1"/>
      <dgm:spPr>
        <a:xfrm>
          <a:off x="556742" y="1885208"/>
          <a:ext cx="832961" cy="159729"/>
        </a:xfrm>
      </dgm:spPr>
      <dgm:t>
        <a:bodyPr/>
        <a:lstStyle/>
        <a:p>
          <a:pPr algn="ctr">
            <a:buNone/>
          </a:pPr>
          <a:r>
            <a:rPr lang="pl-PL" sz="600">
              <a:latin typeface="Calibri" panose="020F0502020204030204"/>
              <a:ea typeface="+mn-ea"/>
              <a:cs typeface="+mn-cs"/>
            </a:rPr>
            <a:t>Model regionalny, interwencja regionalna</a:t>
          </a:r>
        </a:p>
      </dgm:t>
    </dgm:pt>
    <dgm:pt modelId="{16C51B90-BA92-4BA4-9C3A-FC6DFE8BD3E3}">
      <dgm:prSet phldrT="[Tekst]" custT="1"/>
      <dgm:spPr>
        <a:xfrm>
          <a:off x="1613325" y="1512505"/>
          <a:ext cx="925512" cy="479189"/>
        </a:xfrm>
      </dgm:spPr>
      <dgm:t>
        <a:bodyPr/>
        <a:lstStyle/>
        <a:p>
          <a:pPr algn="ctr">
            <a:buNone/>
          </a:pPr>
          <a:r>
            <a:rPr lang="pl-PL" sz="1400">
              <a:latin typeface="Calibri" panose="020F0502020204030204"/>
              <a:ea typeface="+mn-ea"/>
              <a:cs typeface="+mn-cs"/>
            </a:rPr>
            <a:t>Region 2</a:t>
          </a:r>
        </a:p>
      </dgm:t>
    </dgm:pt>
    <dgm:pt modelId="{ACCF21F9-AC11-4718-9B9C-9209BB95E94F}" type="parTrans" cxnId="{2E5FB198-5B35-4D30-AA1D-97723631747E}">
      <dgm:prSet/>
      <dgm:spPr>
        <a:xfrm>
          <a:off x="2076081" y="479586"/>
          <a:ext cx="620842" cy="1032919"/>
        </a:xfrm>
      </dgm:spPr>
      <dgm:t>
        <a:bodyPr/>
        <a:lstStyle/>
        <a:p>
          <a:pPr algn="ctr"/>
          <a:endParaRPr lang="pl-PL" sz="1400"/>
        </a:p>
      </dgm:t>
    </dgm:pt>
    <dgm:pt modelId="{EF12FCB5-4427-48D4-82AD-CF9EF86DCC4E}" type="sibTrans" cxnId="{2E5FB198-5B35-4D30-AA1D-97723631747E}">
      <dgm:prSet custT="1"/>
      <dgm:spPr>
        <a:xfrm>
          <a:off x="1798427" y="1885208"/>
          <a:ext cx="832961" cy="159729"/>
        </a:xfrm>
      </dgm:spPr>
      <dgm:t>
        <a:bodyPr/>
        <a:lstStyle/>
        <a:p>
          <a:pPr algn="ctr">
            <a:buNone/>
          </a:pPr>
          <a:r>
            <a:rPr lang="pl-PL" sz="600">
              <a:latin typeface="Calibri" panose="020F0502020204030204"/>
              <a:ea typeface="+mn-ea"/>
              <a:cs typeface="+mn-cs"/>
            </a:rPr>
            <a:t>Model regionalny, interwencja regionalna</a:t>
          </a:r>
        </a:p>
      </dgm:t>
    </dgm:pt>
    <dgm:pt modelId="{F98B3DC1-9CA0-4B36-8487-066B08D30F62}">
      <dgm:prSet phldrT="[Tekst]" custT="1"/>
      <dgm:spPr>
        <a:xfrm>
          <a:off x="4096696" y="1512505"/>
          <a:ext cx="925512" cy="479189"/>
        </a:xfrm>
      </dgm:spPr>
      <dgm:t>
        <a:bodyPr/>
        <a:lstStyle/>
        <a:p>
          <a:pPr algn="ctr">
            <a:buNone/>
          </a:pPr>
          <a:r>
            <a:rPr lang="pl-PL" sz="1400">
              <a:latin typeface="Calibri" panose="020F0502020204030204"/>
              <a:ea typeface="+mn-ea"/>
              <a:cs typeface="+mn-cs"/>
            </a:rPr>
            <a:t>Region 16</a:t>
          </a:r>
        </a:p>
      </dgm:t>
    </dgm:pt>
    <dgm:pt modelId="{458A86B1-C7C3-4A3D-AA06-4543948184A4}" type="parTrans" cxnId="{C381EE94-C247-4E48-9527-F4D7425908CC}">
      <dgm:prSet/>
      <dgm:spPr>
        <a:xfrm>
          <a:off x="2696924" y="479586"/>
          <a:ext cx="1862528" cy="1032919"/>
        </a:xfrm>
      </dgm:spPr>
      <dgm:t>
        <a:bodyPr/>
        <a:lstStyle/>
        <a:p>
          <a:pPr algn="ctr"/>
          <a:endParaRPr lang="pl-PL" sz="1400"/>
        </a:p>
      </dgm:t>
    </dgm:pt>
    <dgm:pt modelId="{118E51DD-4CA6-4840-A2C3-DD07F35F65CD}" type="sibTrans" cxnId="{C381EE94-C247-4E48-9527-F4D7425908CC}">
      <dgm:prSet custT="1"/>
      <dgm:spPr>
        <a:xfrm>
          <a:off x="4281798" y="1885208"/>
          <a:ext cx="832961" cy="159729"/>
        </a:xfrm>
      </dgm:spPr>
      <dgm:t>
        <a:bodyPr/>
        <a:lstStyle/>
        <a:p>
          <a:pPr algn="ctr">
            <a:buNone/>
          </a:pPr>
          <a:r>
            <a:rPr lang="pl-PL" sz="600">
              <a:latin typeface="Calibri" panose="020F0502020204030204"/>
              <a:ea typeface="+mn-ea"/>
              <a:cs typeface="+mn-cs"/>
            </a:rPr>
            <a:t>Model regionalny, interwencja regionalna</a:t>
          </a:r>
        </a:p>
      </dgm:t>
    </dgm:pt>
    <dgm:pt modelId="{3C1C2EB5-12AE-4E89-A444-6AD69C0A18DE}">
      <dgm:prSet phldrT="[Tekst]" custT="1"/>
      <dgm:spPr>
        <a:xfrm>
          <a:off x="2855010" y="1512505"/>
          <a:ext cx="925512" cy="479189"/>
        </a:xfrm>
      </dgm:spPr>
      <dgm:t>
        <a:bodyPr/>
        <a:lstStyle/>
        <a:p>
          <a:pPr algn="ctr">
            <a:buNone/>
          </a:pPr>
          <a:r>
            <a:rPr lang="pl-PL" sz="1800">
              <a:latin typeface="Calibri" panose="020F0502020204030204"/>
              <a:ea typeface="+mn-ea"/>
              <a:cs typeface="+mn-cs"/>
            </a:rPr>
            <a:t>...</a:t>
          </a:r>
        </a:p>
      </dgm:t>
    </dgm:pt>
    <dgm:pt modelId="{2F764935-D28F-419C-B189-2683639BABD1}" type="parTrans" cxnId="{31B8E690-2FF0-4D30-8860-D806B9D214B0}">
      <dgm:prSet/>
      <dgm:spPr>
        <a:xfrm>
          <a:off x="2696924" y="479586"/>
          <a:ext cx="620842" cy="1032919"/>
        </a:xfrm>
      </dgm:spPr>
      <dgm:t>
        <a:bodyPr/>
        <a:lstStyle/>
        <a:p>
          <a:pPr algn="ctr"/>
          <a:endParaRPr lang="pl-PL" sz="1600"/>
        </a:p>
      </dgm:t>
    </dgm:pt>
    <dgm:pt modelId="{EC8EFE11-6323-4F4C-A23E-461E651F2006}" type="sibTrans" cxnId="{31B8E690-2FF0-4D30-8860-D806B9D214B0}">
      <dgm:prSet custT="1"/>
      <dgm:spPr>
        <a:xfrm>
          <a:off x="3040113" y="1885208"/>
          <a:ext cx="832961" cy="159729"/>
        </a:xfrm>
      </dgm:spPr>
      <dgm:t>
        <a:bodyPr/>
        <a:lstStyle/>
        <a:p>
          <a:pPr algn="ctr">
            <a:buNone/>
          </a:pPr>
          <a:endParaRPr lang="pl-PL" sz="1050">
            <a:solidFill>
              <a:sysClr val="windowText" lastClr="000000">
                <a:hueOff val="0"/>
                <a:satOff val="0"/>
                <a:lumOff val="0"/>
                <a:alphaOff val="0"/>
              </a:sysClr>
            </a:solidFill>
            <a:latin typeface="Calibri" panose="020F0502020204030204"/>
            <a:ea typeface="+mn-ea"/>
            <a:cs typeface="+mn-cs"/>
          </a:endParaRPr>
        </a:p>
      </dgm:t>
    </dgm:pt>
    <dgm:pt modelId="{153BAA98-CA2E-48E6-BC4C-B7C844C52A34}" type="pres">
      <dgm:prSet presAssocID="{007D48D5-8D3A-4479-A987-2509803D1C65}" presName="hierChild1" presStyleCnt="0">
        <dgm:presLayoutVars>
          <dgm:orgChart val="1"/>
          <dgm:chPref val="1"/>
          <dgm:dir/>
          <dgm:animOne val="branch"/>
          <dgm:animLvl val="lvl"/>
          <dgm:resizeHandles/>
        </dgm:presLayoutVars>
      </dgm:prSet>
      <dgm:spPr/>
    </dgm:pt>
    <dgm:pt modelId="{DB832299-E505-49AE-B062-DFB5DC59C2D2}" type="pres">
      <dgm:prSet presAssocID="{3B17E1D4-9AB8-4474-BA2F-710BF10F5956}" presName="hierRoot1" presStyleCnt="0">
        <dgm:presLayoutVars>
          <dgm:hierBranch val="init"/>
        </dgm:presLayoutVars>
      </dgm:prSet>
      <dgm:spPr/>
    </dgm:pt>
    <dgm:pt modelId="{2ACA2709-E885-4A85-A199-B16CDC2BD7AD}" type="pres">
      <dgm:prSet presAssocID="{3B17E1D4-9AB8-4474-BA2F-710BF10F5956}" presName="rootComposite1" presStyleCnt="0"/>
      <dgm:spPr/>
    </dgm:pt>
    <dgm:pt modelId="{7439730F-91D9-429E-A777-F33B93ABB347}" type="pres">
      <dgm:prSet presAssocID="{3B17E1D4-9AB8-4474-BA2F-710BF10F5956}" presName="rootText1" presStyleLbl="node0" presStyleIdx="0" presStyleCnt="1">
        <dgm:presLayoutVars>
          <dgm:chMax/>
          <dgm:chPref val="3"/>
        </dgm:presLayoutVars>
      </dgm:prSet>
      <dgm:spPr>
        <a:prstGeom prst="rect">
          <a:avLst/>
        </a:prstGeom>
      </dgm:spPr>
    </dgm:pt>
    <dgm:pt modelId="{61A7703B-5F9B-49E3-9FCA-66DF68C2E4FF}" type="pres">
      <dgm:prSet presAssocID="{3B17E1D4-9AB8-4474-BA2F-710BF10F5956}" presName="titleText1" presStyleLbl="fgAcc0" presStyleIdx="0" presStyleCnt="1">
        <dgm:presLayoutVars>
          <dgm:chMax val="0"/>
          <dgm:chPref val="0"/>
        </dgm:presLayoutVars>
      </dgm:prSet>
      <dgm:spPr>
        <a:prstGeom prst="rect">
          <a:avLst/>
        </a:prstGeom>
      </dgm:spPr>
    </dgm:pt>
    <dgm:pt modelId="{14D3E2E5-6515-42E4-9520-D04AE45A2546}" type="pres">
      <dgm:prSet presAssocID="{3B17E1D4-9AB8-4474-BA2F-710BF10F5956}" presName="rootConnector1" presStyleLbl="node1" presStyleIdx="0" presStyleCnt="4"/>
      <dgm:spPr/>
    </dgm:pt>
    <dgm:pt modelId="{2993F230-7950-4654-8F39-5D76F4DDB5EF}" type="pres">
      <dgm:prSet presAssocID="{3B17E1D4-9AB8-4474-BA2F-710BF10F5956}" presName="hierChild2" presStyleCnt="0"/>
      <dgm:spPr/>
    </dgm:pt>
    <dgm:pt modelId="{5897156B-0BC7-4332-A98D-F8A12D4FA70A}" type="pres">
      <dgm:prSet presAssocID="{943A4B21-1C0B-4D5F-BCA6-F76300B70A66}" presName="Name37" presStyleLbl="parChTrans1D2" presStyleIdx="0" presStyleCnt="5"/>
      <dgm:spPr>
        <a:custGeom>
          <a:avLst/>
          <a:gdLst/>
          <a:ahLst/>
          <a:cxnLst/>
          <a:rect l="0" t="0" r="0" b="0"/>
          <a:pathLst>
            <a:path>
              <a:moveTo>
                <a:pt x="1856671" y="0"/>
              </a:moveTo>
              <a:lnTo>
                <a:pt x="1856671" y="918211"/>
              </a:lnTo>
              <a:lnTo>
                <a:pt x="0" y="918211"/>
              </a:lnTo>
              <a:lnTo>
                <a:pt x="0" y="1029671"/>
              </a:lnTo>
            </a:path>
          </a:pathLst>
        </a:custGeom>
      </dgm:spPr>
    </dgm:pt>
    <dgm:pt modelId="{6B177791-F3CD-49A3-B68C-3725C57392E7}" type="pres">
      <dgm:prSet presAssocID="{11CB7AA6-9992-4AA7-83FF-F7FC40BD14C8}" presName="hierRoot2" presStyleCnt="0">
        <dgm:presLayoutVars>
          <dgm:hierBranch val="init"/>
        </dgm:presLayoutVars>
      </dgm:prSet>
      <dgm:spPr/>
    </dgm:pt>
    <dgm:pt modelId="{D6D4052D-2000-44D6-8A17-A216E9D3EBA8}" type="pres">
      <dgm:prSet presAssocID="{11CB7AA6-9992-4AA7-83FF-F7FC40BD14C8}" presName="rootComposite" presStyleCnt="0"/>
      <dgm:spPr/>
    </dgm:pt>
    <dgm:pt modelId="{65BC36A7-375D-421B-99AF-5819779F566E}" type="pres">
      <dgm:prSet presAssocID="{11CB7AA6-9992-4AA7-83FF-F7FC40BD14C8}" presName="rootText" presStyleLbl="node1" presStyleIdx="0" presStyleCnt="4">
        <dgm:presLayoutVars>
          <dgm:chMax/>
          <dgm:chPref val="3"/>
        </dgm:presLayoutVars>
      </dgm:prSet>
      <dgm:spPr>
        <a:prstGeom prst="rect">
          <a:avLst/>
        </a:prstGeom>
      </dgm:spPr>
    </dgm:pt>
    <dgm:pt modelId="{3C7EA688-DA67-423A-82C0-92FA65E2A365}" type="pres">
      <dgm:prSet presAssocID="{11CB7AA6-9992-4AA7-83FF-F7FC40BD14C8}" presName="titleText2" presStyleLbl="fgAcc1" presStyleIdx="0" presStyleCnt="4">
        <dgm:presLayoutVars>
          <dgm:chMax val="0"/>
          <dgm:chPref val="0"/>
        </dgm:presLayoutVars>
      </dgm:prSet>
      <dgm:spPr>
        <a:prstGeom prst="rect">
          <a:avLst/>
        </a:prstGeom>
      </dgm:spPr>
    </dgm:pt>
    <dgm:pt modelId="{783E1EFE-F354-4CAF-BBC7-B7A5272B64FF}" type="pres">
      <dgm:prSet presAssocID="{11CB7AA6-9992-4AA7-83FF-F7FC40BD14C8}" presName="rootConnector" presStyleLbl="node2" presStyleIdx="0" presStyleCnt="0"/>
      <dgm:spPr/>
    </dgm:pt>
    <dgm:pt modelId="{A3AAD4C4-70A4-478F-9ECF-606A57268595}" type="pres">
      <dgm:prSet presAssocID="{11CB7AA6-9992-4AA7-83FF-F7FC40BD14C8}" presName="hierChild4" presStyleCnt="0"/>
      <dgm:spPr/>
    </dgm:pt>
    <dgm:pt modelId="{E4231B6A-A44E-4635-B56C-53A742131166}" type="pres">
      <dgm:prSet presAssocID="{11CB7AA6-9992-4AA7-83FF-F7FC40BD14C8}" presName="hierChild5" presStyleCnt="0"/>
      <dgm:spPr/>
    </dgm:pt>
    <dgm:pt modelId="{D3F5CB72-C582-401D-B509-102F4BB4C810}" type="pres">
      <dgm:prSet presAssocID="{ACCF21F9-AC11-4718-9B9C-9209BB95E94F}" presName="Name37" presStyleLbl="parChTrans1D2" presStyleIdx="1" presStyleCnt="5"/>
      <dgm:spPr>
        <a:custGeom>
          <a:avLst/>
          <a:gdLst/>
          <a:ahLst/>
          <a:cxnLst/>
          <a:rect l="0" t="0" r="0" b="0"/>
          <a:pathLst>
            <a:path>
              <a:moveTo>
                <a:pt x="618890" y="0"/>
              </a:moveTo>
              <a:lnTo>
                <a:pt x="618890" y="918211"/>
              </a:lnTo>
              <a:lnTo>
                <a:pt x="0" y="918211"/>
              </a:lnTo>
              <a:lnTo>
                <a:pt x="0" y="1029671"/>
              </a:lnTo>
            </a:path>
          </a:pathLst>
        </a:custGeom>
      </dgm:spPr>
    </dgm:pt>
    <dgm:pt modelId="{58B1EF1A-61E6-46F2-901C-DBC53AE1ED34}" type="pres">
      <dgm:prSet presAssocID="{16C51B90-BA92-4BA4-9C3A-FC6DFE8BD3E3}" presName="hierRoot2" presStyleCnt="0">
        <dgm:presLayoutVars>
          <dgm:hierBranch val="init"/>
        </dgm:presLayoutVars>
      </dgm:prSet>
      <dgm:spPr/>
    </dgm:pt>
    <dgm:pt modelId="{62404ABA-E1E9-4C58-9D06-EB22AB4346B5}" type="pres">
      <dgm:prSet presAssocID="{16C51B90-BA92-4BA4-9C3A-FC6DFE8BD3E3}" presName="rootComposite" presStyleCnt="0"/>
      <dgm:spPr/>
    </dgm:pt>
    <dgm:pt modelId="{2C508CC8-5488-4630-9530-F435106281CC}" type="pres">
      <dgm:prSet presAssocID="{16C51B90-BA92-4BA4-9C3A-FC6DFE8BD3E3}" presName="rootText" presStyleLbl="node1" presStyleIdx="1" presStyleCnt="4">
        <dgm:presLayoutVars>
          <dgm:chMax/>
          <dgm:chPref val="3"/>
        </dgm:presLayoutVars>
      </dgm:prSet>
      <dgm:spPr>
        <a:prstGeom prst="rect">
          <a:avLst/>
        </a:prstGeom>
      </dgm:spPr>
    </dgm:pt>
    <dgm:pt modelId="{C364A6A0-DDD6-49BE-A4DC-7A0B8BACBA35}" type="pres">
      <dgm:prSet presAssocID="{16C51B90-BA92-4BA4-9C3A-FC6DFE8BD3E3}" presName="titleText2" presStyleLbl="fgAcc1" presStyleIdx="1" presStyleCnt="4">
        <dgm:presLayoutVars>
          <dgm:chMax val="0"/>
          <dgm:chPref val="0"/>
        </dgm:presLayoutVars>
      </dgm:prSet>
      <dgm:spPr>
        <a:prstGeom prst="rect">
          <a:avLst/>
        </a:prstGeom>
      </dgm:spPr>
    </dgm:pt>
    <dgm:pt modelId="{B4055D98-797E-4E7E-99DA-2D3B4E79B9FA}" type="pres">
      <dgm:prSet presAssocID="{16C51B90-BA92-4BA4-9C3A-FC6DFE8BD3E3}" presName="rootConnector" presStyleLbl="node2" presStyleIdx="0" presStyleCnt="0"/>
      <dgm:spPr/>
    </dgm:pt>
    <dgm:pt modelId="{59A3D502-609D-402B-AB00-373F8882A469}" type="pres">
      <dgm:prSet presAssocID="{16C51B90-BA92-4BA4-9C3A-FC6DFE8BD3E3}" presName="hierChild4" presStyleCnt="0"/>
      <dgm:spPr/>
    </dgm:pt>
    <dgm:pt modelId="{8DFA93BE-C63B-471F-916E-575D8388B464}" type="pres">
      <dgm:prSet presAssocID="{16C51B90-BA92-4BA4-9C3A-FC6DFE8BD3E3}" presName="hierChild5" presStyleCnt="0"/>
      <dgm:spPr/>
    </dgm:pt>
    <dgm:pt modelId="{B5C93435-C5A3-4B1E-8FD6-56F46E2EBBEC}" type="pres">
      <dgm:prSet presAssocID="{2F764935-D28F-419C-B189-2683639BABD1}" presName="Name37" presStyleLbl="parChTrans1D2" presStyleIdx="2" presStyleCnt="5"/>
      <dgm:spPr>
        <a:custGeom>
          <a:avLst/>
          <a:gdLst/>
          <a:ahLst/>
          <a:cxnLst/>
          <a:rect l="0" t="0" r="0" b="0"/>
          <a:pathLst>
            <a:path>
              <a:moveTo>
                <a:pt x="0" y="0"/>
              </a:moveTo>
              <a:lnTo>
                <a:pt x="0" y="918211"/>
              </a:lnTo>
              <a:lnTo>
                <a:pt x="618890" y="918211"/>
              </a:lnTo>
              <a:lnTo>
                <a:pt x="618890" y="1029671"/>
              </a:lnTo>
            </a:path>
          </a:pathLst>
        </a:custGeom>
      </dgm:spPr>
    </dgm:pt>
    <dgm:pt modelId="{CA11AFE8-BB6C-4B02-BE05-8F0608308453}" type="pres">
      <dgm:prSet presAssocID="{3C1C2EB5-12AE-4E89-A444-6AD69C0A18DE}" presName="hierRoot2" presStyleCnt="0">
        <dgm:presLayoutVars>
          <dgm:hierBranch val="init"/>
        </dgm:presLayoutVars>
      </dgm:prSet>
      <dgm:spPr/>
    </dgm:pt>
    <dgm:pt modelId="{6CE40278-0662-4EF6-9628-4AA9E3C0C25D}" type="pres">
      <dgm:prSet presAssocID="{3C1C2EB5-12AE-4E89-A444-6AD69C0A18DE}" presName="rootComposite" presStyleCnt="0"/>
      <dgm:spPr/>
    </dgm:pt>
    <dgm:pt modelId="{8F5122C2-8E93-4482-B00D-50071B87892D}" type="pres">
      <dgm:prSet presAssocID="{3C1C2EB5-12AE-4E89-A444-6AD69C0A18DE}" presName="rootText" presStyleLbl="node1" presStyleIdx="2" presStyleCnt="4">
        <dgm:presLayoutVars>
          <dgm:chMax/>
          <dgm:chPref val="3"/>
        </dgm:presLayoutVars>
      </dgm:prSet>
      <dgm:spPr>
        <a:prstGeom prst="rect">
          <a:avLst/>
        </a:prstGeom>
      </dgm:spPr>
    </dgm:pt>
    <dgm:pt modelId="{8C2636A4-932C-49DA-9794-D0868C5502BA}" type="pres">
      <dgm:prSet presAssocID="{3C1C2EB5-12AE-4E89-A444-6AD69C0A18DE}" presName="titleText2" presStyleLbl="fgAcc1" presStyleIdx="2" presStyleCnt="4">
        <dgm:presLayoutVars>
          <dgm:chMax val="0"/>
          <dgm:chPref val="0"/>
        </dgm:presLayoutVars>
      </dgm:prSet>
      <dgm:spPr>
        <a:prstGeom prst="rect">
          <a:avLst/>
        </a:prstGeom>
      </dgm:spPr>
    </dgm:pt>
    <dgm:pt modelId="{005AD63B-E42A-4828-BD74-A350D4CD77E5}" type="pres">
      <dgm:prSet presAssocID="{3C1C2EB5-12AE-4E89-A444-6AD69C0A18DE}" presName="rootConnector" presStyleLbl="node2" presStyleIdx="0" presStyleCnt="0"/>
      <dgm:spPr/>
    </dgm:pt>
    <dgm:pt modelId="{7F2C8DBE-D97D-461F-A06E-C20DDEBB2D69}" type="pres">
      <dgm:prSet presAssocID="{3C1C2EB5-12AE-4E89-A444-6AD69C0A18DE}" presName="hierChild4" presStyleCnt="0"/>
      <dgm:spPr/>
    </dgm:pt>
    <dgm:pt modelId="{819F5AD8-E723-499C-AF2D-476003821AC4}" type="pres">
      <dgm:prSet presAssocID="{3C1C2EB5-12AE-4E89-A444-6AD69C0A18DE}" presName="hierChild5" presStyleCnt="0"/>
      <dgm:spPr/>
    </dgm:pt>
    <dgm:pt modelId="{B304A8CB-D8D3-42C8-BDDE-381D67CCF8B8}" type="pres">
      <dgm:prSet presAssocID="{458A86B1-C7C3-4A3D-AA06-4543948184A4}" presName="Name37" presStyleLbl="parChTrans1D2" presStyleIdx="3" presStyleCnt="5"/>
      <dgm:spPr>
        <a:custGeom>
          <a:avLst/>
          <a:gdLst/>
          <a:ahLst/>
          <a:cxnLst/>
          <a:rect l="0" t="0" r="0" b="0"/>
          <a:pathLst>
            <a:path>
              <a:moveTo>
                <a:pt x="0" y="0"/>
              </a:moveTo>
              <a:lnTo>
                <a:pt x="0" y="918211"/>
              </a:lnTo>
              <a:lnTo>
                <a:pt x="1856671" y="918211"/>
              </a:lnTo>
              <a:lnTo>
                <a:pt x="1856671" y="1029671"/>
              </a:lnTo>
            </a:path>
          </a:pathLst>
        </a:custGeom>
      </dgm:spPr>
    </dgm:pt>
    <dgm:pt modelId="{1A2F71FC-494F-4DA9-B424-1ABA93F80D31}" type="pres">
      <dgm:prSet presAssocID="{F98B3DC1-9CA0-4B36-8487-066B08D30F62}" presName="hierRoot2" presStyleCnt="0">
        <dgm:presLayoutVars>
          <dgm:hierBranch val="init"/>
        </dgm:presLayoutVars>
      </dgm:prSet>
      <dgm:spPr/>
    </dgm:pt>
    <dgm:pt modelId="{E28B38AB-7912-45DD-9D89-46FC5504714E}" type="pres">
      <dgm:prSet presAssocID="{F98B3DC1-9CA0-4B36-8487-066B08D30F62}" presName="rootComposite" presStyleCnt="0"/>
      <dgm:spPr/>
    </dgm:pt>
    <dgm:pt modelId="{8493CA3D-44DC-4AD2-A8AD-FE8987ADA6D9}" type="pres">
      <dgm:prSet presAssocID="{F98B3DC1-9CA0-4B36-8487-066B08D30F62}" presName="rootText" presStyleLbl="node1" presStyleIdx="3" presStyleCnt="4">
        <dgm:presLayoutVars>
          <dgm:chMax/>
          <dgm:chPref val="3"/>
        </dgm:presLayoutVars>
      </dgm:prSet>
      <dgm:spPr>
        <a:prstGeom prst="rect">
          <a:avLst/>
        </a:prstGeom>
      </dgm:spPr>
    </dgm:pt>
    <dgm:pt modelId="{9FB07BE5-7ED6-41E1-B3FB-92A2BC83B305}" type="pres">
      <dgm:prSet presAssocID="{F98B3DC1-9CA0-4B36-8487-066B08D30F62}" presName="titleText2" presStyleLbl="fgAcc1" presStyleIdx="3" presStyleCnt="4">
        <dgm:presLayoutVars>
          <dgm:chMax val="0"/>
          <dgm:chPref val="0"/>
        </dgm:presLayoutVars>
      </dgm:prSet>
      <dgm:spPr>
        <a:prstGeom prst="rect">
          <a:avLst/>
        </a:prstGeom>
      </dgm:spPr>
    </dgm:pt>
    <dgm:pt modelId="{DB9D4058-E674-40C5-A1BE-25B01AFACC27}" type="pres">
      <dgm:prSet presAssocID="{F98B3DC1-9CA0-4B36-8487-066B08D30F62}" presName="rootConnector" presStyleLbl="node2" presStyleIdx="0" presStyleCnt="0"/>
      <dgm:spPr/>
    </dgm:pt>
    <dgm:pt modelId="{37A9C902-D8A3-4247-A66D-C86BD180A64C}" type="pres">
      <dgm:prSet presAssocID="{F98B3DC1-9CA0-4B36-8487-066B08D30F62}" presName="hierChild4" presStyleCnt="0"/>
      <dgm:spPr/>
    </dgm:pt>
    <dgm:pt modelId="{79C9C319-9D4D-41DF-8F94-2364ACECD308}" type="pres">
      <dgm:prSet presAssocID="{F98B3DC1-9CA0-4B36-8487-066B08D30F62}" presName="hierChild5" presStyleCnt="0"/>
      <dgm:spPr/>
    </dgm:pt>
    <dgm:pt modelId="{DAB0542A-618A-4469-B6D7-526ED19B53C5}" type="pres">
      <dgm:prSet presAssocID="{3B17E1D4-9AB8-4474-BA2F-710BF10F5956}" presName="hierChild3" presStyleCnt="0"/>
      <dgm:spPr/>
    </dgm:pt>
    <dgm:pt modelId="{484B90C2-E54C-496E-823A-00A56732D627}" type="pres">
      <dgm:prSet presAssocID="{F9662E8A-F6C4-4789-AAE2-64A17E18E713}" presName="Name96" presStyleLbl="parChTrans1D2" presStyleIdx="4" presStyleCnt="5"/>
      <dgm:spPr>
        <a:custGeom>
          <a:avLst/>
          <a:gdLst/>
          <a:ahLst/>
          <a:cxnLst/>
          <a:rect l="0" t="0" r="0" b="0"/>
          <a:pathLst>
            <a:path>
              <a:moveTo>
                <a:pt x="111049" y="0"/>
              </a:moveTo>
              <a:lnTo>
                <a:pt x="111049" y="514835"/>
              </a:lnTo>
              <a:lnTo>
                <a:pt x="45720" y="514835"/>
              </a:lnTo>
            </a:path>
          </a:pathLst>
        </a:custGeom>
      </dgm:spPr>
    </dgm:pt>
    <dgm:pt modelId="{30FCC12D-C428-4A1F-AA69-3FDCC39BC2E3}" type="pres">
      <dgm:prSet presAssocID="{3DCBAEA1-EA87-40E2-B5A7-E3CD30AB1BD8}" presName="hierRoot3" presStyleCnt="0">
        <dgm:presLayoutVars>
          <dgm:hierBranch val="init"/>
        </dgm:presLayoutVars>
      </dgm:prSet>
      <dgm:spPr/>
    </dgm:pt>
    <dgm:pt modelId="{30919A90-8444-481F-8099-410E49FB8668}" type="pres">
      <dgm:prSet presAssocID="{3DCBAEA1-EA87-40E2-B5A7-E3CD30AB1BD8}" presName="rootComposite3" presStyleCnt="0"/>
      <dgm:spPr/>
    </dgm:pt>
    <dgm:pt modelId="{D086765F-F107-4857-AD69-37E9F78A0343}" type="pres">
      <dgm:prSet presAssocID="{3DCBAEA1-EA87-40E2-B5A7-E3CD30AB1BD8}" presName="rootText3" presStyleLbl="asst1" presStyleIdx="0" presStyleCnt="1" custScaleX="204573" custScaleY="74048">
        <dgm:presLayoutVars>
          <dgm:chPref val="3"/>
        </dgm:presLayoutVars>
      </dgm:prSet>
      <dgm:spPr>
        <a:prstGeom prst="rect">
          <a:avLst/>
        </a:prstGeom>
      </dgm:spPr>
    </dgm:pt>
    <dgm:pt modelId="{D2D1629B-6BC5-470E-B7AB-82ABFA883D19}" type="pres">
      <dgm:prSet presAssocID="{3DCBAEA1-EA87-40E2-B5A7-E3CD30AB1BD8}" presName="titleText3" presStyleLbl="fgAcc2" presStyleIdx="0" presStyleCnt="1" custLinFactNeighborX="50996" custLinFactNeighborY="-5976">
        <dgm:presLayoutVars>
          <dgm:chMax val="0"/>
          <dgm:chPref val="0"/>
        </dgm:presLayoutVars>
      </dgm:prSet>
      <dgm:spPr>
        <a:prstGeom prst="rect">
          <a:avLst/>
        </a:prstGeom>
      </dgm:spPr>
    </dgm:pt>
    <dgm:pt modelId="{36A9129B-4984-49D9-93E2-8C032EB325DD}" type="pres">
      <dgm:prSet presAssocID="{3DCBAEA1-EA87-40E2-B5A7-E3CD30AB1BD8}" presName="rootConnector3" presStyleLbl="asst1" presStyleIdx="0" presStyleCnt="1"/>
      <dgm:spPr/>
    </dgm:pt>
    <dgm:pt modelId="{B4B4D436-2235-4574-BCC6-53D4CC39C016}" type="pres">
      <dgm:prSet presAssocID="{3DCBAEA1-EA87-40E2-B5A7-E3CD30AB1BD8}" presName="hierChild6" presStyleCnt="0"/>
      <dgm:spPr/>
    </dgm:pt>
    <dgm:pt modelId="{80EA160D-9054-4558-B8B5-DAA1866414FD}" type="pres">
      <dgm:prSet presAssocID="{3DCBAEA1-EA87-40E2-B5A7-E3CD30AB1BD8}" presName="hierChild7" presStyleCnt="0"/>
      <dgm:spPr/>
    </dgm:pt>
  </dgm:ptLst>
  <dgm:cxnLst>
    <dgm:cxn modelId="{B0E04F02-6F77-42A0-9BE0-E2BF1C3B5A39}" type="presOf" srcId="{458A86B1-C7C3-4A3D-AA06-4543948184A4}" destId="{B304A8CB-D8D3-42C8-BDDE-381D67CCF8B8}" srcOrd="0" destOrd="0" presId="urn:microsoft.com/office/officeart/2008/layout/NameandTitleOrganizationalChart"/>
    <dgm:cxn modelId="{3A07BA16-205B-4E79-BE26-228630DE96AC}" type="presOf" srcId="{16C51B90-BA92-4BA4-9C3A-FC6DFE8BD3E3}" destId="{B4055D98-797E-4E7E-99DA-2D3B4E79B9FA}" srcOrd="1" destOrd="0" presId="urn:microsoft.com/office/officeart/2008/layout/NameandTitleOrganizationalChart"/>
    <dgm:cxn modelId="{976FF419-E56C-45FC-A050-74B5B8424097}" type="presOf" srcId="{ACCF21F9-AC11-4718-9B9C-9209BB95E94F}" destId="{D3F5CB72-C582-401D-B509-102F4BB4C810}" srcOrd="0" destOrd="0" presId="urn:microsoft.com/office/officeart/2008/layout/NameandTitleOrganizationalChart"/>
    <dgm:cxn modelId="{8AF1B91D-D0C0-4226-8C40-DFCD0EA9122B}" type="presOf" srcId="{B8C4AE11-A076-4CAB-BE17-DA419940AA35}" destId="{D2D1629B-6BC5-470E-B7AB-82ABFA883D19}" srcOrd="0" destOrd="0" presId="urn:microsoft.com/office/officeart/2008/layout/NameandTitleOrganizationalChart"/>
    <dgm:cxn modelId="{3E60831F-23A7-4BFA-9AAC-5181C70BA796}" srcId="{3B17E1D4-9AB8-4474-BA2F-710BF10F5956}" destId="{11CB7AA6-9992-4AA7-83FF-F7FC40BD14C8}" srcOrd="1" destOrd="0" parTransId="{943A4B21-1C0B-4D5F-BCA6-F76300B70A66}" sibTransId="{5B9121CC-EA8D-4C0F-A17F-628FB44D5428}"/>
    <dgm:cxn modelId="{C812D72B-9B48-4E68-A1DC-2727F8A17EBE}" type="presOf" srcId="{943A4B21-1C0B-4D5F-BCA6-F76300B70A66}" destId="{5897156B-0BC7-4332-A98D-F8A12D4FA70A}" srcOrd="0" destOrd="0" presId="urn:microsoft.com/office/officeart/2008/layout/NameandTitleOrganizationalChart"/>
    <dgm:cxn modelId="{7DB57437-73B2-473D-92B7-144F01C40652}" type="presOf" srcId="{3C1C2EB5-12AE-4E89-A444-6AD69C0A18DE}" destId="{005AD63B-E42A-4828-BD74-A350D4CD77E5}" srcOrd="1" destOrd="0" presId="urn:microsoft.com/office/officeart/2008/layout/NameandTitleOrganizationalChart"/>
    <dgm:cxn modelId="{1FDFE765-6678-409F-9510-F7CA30CC64B1}" type="presOf" srcId="{3B17E1D4-9AB8-4474-BA2F-710BF10F5956}" destId="{7439730F-91D9-429E-A777-F33B93ABB347}" srcOrd="0" destOrd="0" presId="urn:microsoft.com/office/officeart/2008/layout/NameandTitleOrganizationalChart"/>
    <dgm:cxn modelId="{8528A16A-A7B2-4932-86FF-0A0F9465B76E}" type="presOf" srcId="{F98B3DC1-9CA0-4B36-8487-066B08D30F62}" destId="{DB9D4058-E674-40C5-A1BE-25B01AFACC27}" srcOrd="1" destOrd="0" presId="urn:microsoft.com/office/officeart/2008/layout/NameandTitleOrganizationalChart"/>
    <dgm:cxn modelId="{C58FEF6A-7339-428A-A0EE-F445AC583294}" type="presOf" srcId="{EF12FCB5-4427-48D4-82AD-CF9EF86DCC4E}" destId="{C364A6A0-DDD6-49BE-A4DC-7A0B8BACBA35}" srcOrd="0" destOrd="0" presId="urn:microsoft.com/office/officeart/2008/layout/NameandTitleOrganizationalChart"/>
    <dgm:cxn modelId="{21208F4E-F769-40F0-AD45-01AA52102EF7}" srcId="{007D48D5-8D3A-4479-A987-2509803D1C65}" destId="{3B17E1D4-9AB8-4474-BA2F-710BF10F5956}" srcOrd="0" destOrd="0" parTransId="{E5FB4520-01A3-4841-8E2D-A236B09E839A}" sibTransId="{024AA126-0473-402E-A7B2-4E51F73A1E4C}"/>
    <dgm:cxn modelId="{5627A153-B5AF-4C7F-9FE5-C4B2ACA109AD}" type="presOf" srcId="{EC8EFE11-6323-4F4C-A23E-461E651F2006}" destId="{8C2636A4-932C-49DA-9794-D0868C5502BA}" srcOrd="0" destOrd="0" presId="urn:microsoft.com/office/officeart/2008/layout/NameandTitleOrganizationalChart"/>
    <dgm:cxn modelId="{59E0D558-D8DE-4D5E-AD25-C756327196E9}" type="presOf" srcId="{024AA126-0473-402E-A7B2-4E51F73A1E4C}" destId="{61A7703B-5F9B-49E3-9FCA-66DF68C2E4FF}" srcOrd="0" destOrd="0" presId="urn:microsoft.com/office/officeart/2008/layout/NameandTitleOrganizationalChart"/>
    <dgm:cxn modelId="{B3683280-23B3-403F-A91D-34AD701A7E0C}" type="presOf" srcId="{3DCBAEA1-EA87-40E2-B5A7-E3CD30AB1BD8}" destId="{36A9129B-4984-49D9-93E2-8C032EB325DD}" srcOrd="1" destOrd="0" presId="urn:microsoft.com/office/officeart/2008/layout/NameandTitleOrganizationalChart"/>
    <dgm:cxn modelId="{31B8E690-2FF0-4D30-8860-D806B9D214B0}" srcId="{3B17E1D4-9AB8-4474-BA2F-710BF10F5956}" destId="{3C1C2EB5-12AE-4E89-A444-6AD69C0A18DE}" srcOrd="3" destOrd="0" parTransId="{2F764935-D28F-419C-B189-2683639BABD1}" sibTransId="{EC8EFE11-6323-4F4C-A23E-461E651F2006}"/>
    <dgm:cxn modelId="{C381EE94-C247-4E48-9527-F4D7425908CC}" srcId="{3B17E1D4-9AB8-4474-BA2F-710BF10F5956}" destId="{F98B3DC1-9CA0-4B36-8487-066B08D30F62}" srcOrd="4" destOrd="0" parTransId="{458A86B1-C7C3-4A3D-AA06-4543948184A4}" sibTransId="{118E51DD-4CA6-4840-A2C3-DD07F35F65CD}"/>
    <dgm:cxn modelId="{484F4695-C033-4D67-9F78-D561E7CA3265}" type="presOf" srcId="{007D48D5-8D3A-4479-A987-2509803D1C65}" destId="{153BAA98-CA2E-48E6-BC4C-B7C844C52A34}" srcOrd="0" destOrd="0" presId="urn:microsoft.com/office/officeart/2008/layout/NameandTitleOrganizationalChart"/>
    <dgm:cxn modelId="{2E5FB198-5B35-4D30-AA1D-97723631747E}" srcId="{3B17E1D4-9AB8-4474-BA2F-710BF10F5956}" destId="{16C51B90-BA92-4BA4-9C3A-FC6DFE8BD3E3}" srcOrd="2" destOrd="0" parTransId="{ACCF21F9-AC11-4718-9B9C-9209BB95E94F}" sibTransId="{EF12FCB5-4427-48D4-82AD-CF9EF86DCC4E}"/>
    <dgm:cxn modelId="{72D3119D-719A-4D5F-87F5-3EA491BFB50E}" srcId="{3B17E1D4-9AB8-4474-BA2F-710BF10F5956}" destId="{3DCBAEA1-EA87-40E2-B5A7-E3CD30AB1BD8}" srcOrd="0" destOrd="0" parTransId="{F9662E8A-F6C4-4789-AAE2-64A17E18E713}" sibTransId="{B8C4AE11-A076-4CAB-BE17-DA419940AA35}"/>
    <dgm:cxn modelId="{1542B29E-5457-4132-B5C9-182147913278}" type="presOf" srcId="{11CB7AA6-9992-4AA7-83FF-F7FC40BD14C8}" destId="{65BC36A7-375D-421B-99AF-5819779F566E}" srcOrd="0" destOrd="0" presId="urn:microsoft.com/office/officeart/2008/layout/NameandTitleOrganizationalChart"/>
    <dgm:cxn modelId="{F683C0AA-02CC-4BD5-82D5-5329C685BA1F}" type="presOf" srcId="{16C51B90-BA92-4BA4-9C3A-FC6DFE8BD3E3}" destId="{2C508CC8-5488-4630-9530-F435106281CC}" srcOrd="0" destOrd="0" presId="urn:microsoft.com/office/officeart/2008/layout/NameandTitleOrganizationalChart"/>
    <dgm:cxn modelId="{CEDCCAAA-0A31-447A-B0C2-9283599C94F7}" type="presOf" srcId="{F9662E8A-F6C4-4789-AAE2-64A17E18E713}" destId="{484B90C2-E54C-496E-823A-00A56732D627}" srcOrd="0" destOrd="0" presId="urn:microsoft.com/office/officeart/2008/layout/NameandTitleOrganizationalChart"/>
    <dgm:cxn modelId="{22EC79B9-86A0-448F-8131-7094A3232C02}" type="presOf" srcId="{F98B3DC1-9CA0-4B36-8487-066B08D30F62}" destId="{8493CA3D-44DC-4AD2-A8AD-FE8987ADA6D9}" srcOrd="0" destOrd="0" presId="urn:microsoft.com/office/officeart/2008/layout/NameandTitleOrganizationalChart"/>
    <dgm:cxn modelId="{E36222BB-283B-4721-ABB8-059CECEE2849}" type="presOf" srcId="{5B9121CC-EA8D-4C0F-A17F-628FB44D5428}" destId="{3C7EA688-DA67-423A-82C0-92FA65E2A365}" srcOrd="0" destOrd="0" presId="urn:microsoft.com/office/officeart/2008/layout/NameandTitleOrganizationalChart"/>
    <dgm:cxn modelId="{4649ECC4-3AA5-4F67-BB18-7A7DEEBC027F}" type="presOf" srcId="{3B17E1D4-9AB8-4474-BA2F-710BF10F5956}" destId="{14D3E2E5-6515-42E4-9520-D04AE45A2546}" srcOrd="1" destOrd="0" presId="urn:microsoft.com/office/officeart/2008/layout/NameandTitleOrganizationalChart"/>
    <dgm:cxn modelId="{5886D7CC-9616-4B45-B545-AD5178CEA6AE}" type="presOf" srcId="{11CB7AA6-9992-4AA7-83FF-F7FC40BD14C8}" destId="{783E1EFE-F354-4CAF-BBC7-B7A5272B64FF}" srcOrd="1" destOrd="0" presId="urn:microsoft.com/office/officeart/2008/layout/NameandTitleOrganizationalChart"/>
    <dgm:cxn modelId="{B33191DC-F171-44A8-96A2-48918688EAE2}" type="presOf" srcId="{118E51DD-4CA6-4840-A2C3-DD07F35F65CD}" destId="{9FB07BE5-7ED6-41E1-B3FB-92A2BC83B305}" srcOrd="0" destOrd="0" presId="urn:microsoft.com/office/officeart/2008/layout/NameandTitleOrganizationalChart"/>
    <dgm:cxn modelId="{5DC642DD-803D-4D2E-85DA-836D71414DC6}" type="presOf" srcId="{3C1C2EB5-12AE-4E89-A444-6AD69C0A18DE}" destId="{8F5122C2-8E93-4482-B00D-50071B87892D}" srcOrd="0" destOrd="0" presId="urn:microsoft.com/office/officeart/2008/layout/NameandTitleOrganizationalChart"/>
    <dgm:cxn modelId="{2A7991E1-8D6C-4B6E-A320-6C916420FDB1}" type="presOf" srcId="{3DCBAEA1-EA87-40E2-B5A7-E3CD30AB1BD8}" destId="{D086765F-F107-4857-AD69-37E9F78A0343}" srcOrd="0" destOrd="0" presId="urn:microsoft.com/office/officeart/2008/layout/NameandTitleOrganizationalChart"/>
    <dgm:cxn modelId="{D6D4F7F9-E836-4B76-AB9C-1B86849B85CD}" type="presOf" srcId="{2F764935-D28F-419C-B189-2683639BABD1}" destId="{B5C93435-C5A3-4B1E-8FD6-56F46E2EBBEC}" srcOrd="0" destOrd="0" presId="urn:microsoft.com/office/officeart/2008/layout/NameandTitleOrganizationalChart"/>
    <dgm:cxn modelId="{7E097974-8418-4792-9CBA-87524246ABD5}" type="presParOf" srcId="{153BAA98-CA2E-48E6-BC4C-B7C844C52A34}" destId="{DB832299-E505-49AE-B062-DFB5DC59C2D2}" srcOrd="0" destOrd="0" presId="urn:microsoft.com/office/officeart/2008/layout/NameandTitleOrganizationalChart"/>
    <dgm:cxn modelId="{94F7D5C1-DDBB-424E-880D-EA03151574BF}" type="presParOf" srcId="{DB832299-E505-49AE-B062-DFB5DC59C2D2}" destId="{2ACA2709-E885-4A85-A199-B16CDC2BD7AD}" srcOrd="0" destOrd="0" presId="urn:microsoft.com/office/officeart/2008/layout/NameandTitleOrganizationalChart"/>
    <dgm:cxn modelId="{A0CF02DA-08E2-49D0-B7E6-D36C07D038F6}" type="presParOf" srcId="{2ACA2709-E885-4A85-A199-B16CDC2BD7AD}" destId="{7439730F-91D9-429E-A777-F33B93ABB347}" srcOrd="0" destOrd="0" presId="urn:microsoft.com/office/officeart/2008/layout/NameandTitleOrganizationalChart"/>
    <dgm:cxn modelId="{C6F731D4-D311-468E-9556-251473A942FE}" type="presParOf" srcId="{2ACA2709-E885-4A85-A199-B16CDC2BD7AD}" destId="{61A7703B-5F9B-49E3-9FCA-66DF68C2E4FF}" srcOrd="1" destOrd="0" presId="urn:microsoft.com/office/officeart/2008/layout/NameandTitleOrganizationalChart"/>
    <dgm:cxn modelId="{AB3C35C6-C8DE-43D9-BA46-520160BC9342}" type="presParOf" srcId="{2ACA2709-E885-4A85-A199-B16CDC2BD7AD}" destId="{14D3E2E5-6515-42E4-9520-D04AE45A2546}" srcOrd="2" destOrd="0" presId="urn:microsoft.com/office/officeart/2008/layout/NameandTitleOrganizationalChart"/>
    <dgm:cxn modelId="{AE960D99-59AF-441D-A1A4-500A70BDCC17}" type="presParOf" srcId="{DB832299-E505-49AE-B062-DFB5DC59C2D2}" destId="{2993F230-7950-4654-8F39-5D76F4DDB5EF}" srcOrd="1" destOrd="0" presId="urn:microsoft.com/office/officeart/2008/layout/NameandTitleOrganizationalChart"/>
    <dgm:cxn modelId="{984D1F89-9EEB-40C2-83D4-6D4E8617FF66}" type="presParOf" srcId="{2993F230-7950-4654-8F39-5D76F4DDB5EF}" destId="{5897156B-0BC7-4332-A98D-F8A12D4FA70A}" srcOrd="0" destOrd="0" presId="urn:microsoft.com/office/officeart/2008/layout/NameandTitleOrganizationalChart"/>
    <dgm:cxn modelId="{D42F81DA-BB21-48CB-94CD-7F32042285EE}" type="presParOf" srcId="{2993F230-7950-4654-8F39-5D76F4DDB5EF}" destId="{6B177791-F3CD-49A3-B68C-3725C57392E7}" srcOrd="1" destOrd="0" presId="urn:microsoft.com/office/officeart/2008/layout/NameandTitleOrganizationalChart"/>
    <dgm:cxn modelId="{06E8104B-D341-4489-A714-DD9E8D8C2A56}" type="presParOf" srcId="{6B177791-F3CD-49A3-B68C-3725C57392E7}" destId="{D6D4052D-2000-44D6-8A17-A216E9D3EBA8}" srcOrd="0" destOrd="0" presId="urn:microsoft.com/office/officeart/2008/layout/NameandTitleOrganizationalChart"/>
    <dgm:cxn modelId="{CC7659A4-2C6F-4738-A335-A885332DF715}" type="presParOf" srcId="{D6D4052D-2000-44D6-8A17-A216E9D3EBA8}" destId="{65BC36A7-375D-421B-99AF-5819779F566E}" srcOrd="0" destOrd="0" presId="urn:microsoft.com/office/officeart/2008/layout/NameandTitleOrganizationalChart"/>
    <dgm:cxn modelId="{8F719030-7475-4605-B30A-A53A2A6A80A5}" type="presParOf" srcId="{D6D4052D-2000-44D6-8A17-A216E9D3EBA8}" destId="{3C7EA688-DA67-423A-82C0-92FA65E2A365}" srcOrd="1" destOrd="0" presId="urn:microsoft.com/office/officeart/2008/layout/NameandTitleOrganizationalChart"/>
    <dgm:cxn modelId="{6F638944-D3CD-4FDF-8B9B-E3B681089A10}" type="presParOf" srcId="{D6D4052D-2000-44D6-8A17-A216E9D3EBA8}" destId="{783E1EFE-F354-4CAF-BBC7-B7A5272B64FF}" srcOrd="2" destOrd="0" presId="urn:microsoft.com/office/officeart/2008/layout/NameandTitleOrganizationalChart"/>
    <dgm:cxn modelId="{4B9AA757-3400-407F-B7AD-F219461E5E8B}" type="presParOf" srcId="{6B177791-F3CD-49A3-B68C-3725C57392E7}" destId="{A3AAD4C4-70A4-478F-9ECF-606A57268595}" srcOrd="1" destOrd="0" presId="urn:microsoft.com/office/officeart/2008/layout/NameandTitleOrganizationalChart"/>
    <dgm:cxn modelId="{54D08408-32A5-4071-8E01-CEC135A5B0EE}" type="presParOf" srcId="{6B177791-F3CD-49A3-B68C-3725C57392E7}" destId="{E4231B6A-A44E-4635-B56C-53A742131166}" srcOrd="2" destOrd="0" presId="urn:microsoft.com/office/officeart/2008/layout/NameandTitleOrganizationalChart"/>
    <dgm:cxn modelId="{067DA1DD-5487-484A-9E8E-73BC51933E22}" type="presParOf" srcId="{2993F230-7950-4654-8F39-5D76F4DDB5EF}" destId="{D3F5CB72-C582-401D-B509-102F4BB4C810}" srcOrd="2" destOrd="0" presId="urn:microsoft.com/office/officeart/2008/layout/NameandTitleOrganizationalChart"/>
    <dgm:cxn modelId="{02125465-7BB9-4E9B-AC95-BC72570665FD}" type="presParOf" srcId="{2993F230-7950-4654-8F39-5D76F4DDB5EF}" destId="{58B1EF1A-61E6-46F2-901C-DBC53AE1ED34}" srcOrd="3" destOrd="0" presId="urn:microsoft.com/office/officeart/2008/layout/NameandTitleOrganizationalChart"/>
    <dgm:cxn modelId="{1808C381-B2EA-4E56-8FCD-F0B966D1E40E}" type="presParOf" srcId="{58B1EF1A-61E6-46F2-901C-DBC53AE1ED34}" destId="{62404ABA-E1E9-4C58-9D06-EB22AB4346B5}" srcOrd="0" destOrd="0" presId="urn:microsoft.com/office/officeart/2008/layout/NameandTitleOrganizationalChart"/>
    <dgm:cxn modelId="{D1DB6DEA-0005-41B7-B0E5-E7D78BC909EC}" type="presParOf" srcId="{62404ABA-E1E9-4C58-9D06-EB22AB4346B5}" destId="{2C508CC8-5488-4630-9530-F435106281CC}" srcOrd="0" destOrd="0" presId="urn:microsoft.com/office/officeart/2008/layout/NameandTitleOrganizationalChart"/>
    <dgm:cxn modelId="{0F17ABD4-0A25-42F4-A39A-FEC8CC26FFA0}" type="presParOf" srcId="{62404ABA-E1E9-4C58-9D06-EB22AB4346B5}" destId="{C364A6A0-DDD6-49BE-A4DC-7A0B8BACBA35}" srcOrd="1" destOrd="0" presId="urn:microsoft.com/office/officeart/2008/layout/NameandTitleOrganizationalChart"/>
    <dgm:cxn modelId="{48A2F516-1988-4B45-AEF5-4A02C26778C7}" type="presParOf" srcId="{62404ABA-E1E9-4C58-9D06-EB22AB4346B5}" destId="{B4055D98-797E-4E7E-99DA-2D3B4E79B9FA}" srcOrd="2" destOrd="0" presId="urn:microsoft.com/office/officeart/2008/layout/NameandTitleOrganizationalChart"/>
    <dgm:cxn modelId="{9B975EFD-2B21-46E6-A5F4-4D43EE7C24EF}" type="presParOf" srcId="{58B1EF1A-61E6-46F2-901C-DBC53AE1ED34}" destId="{59A3D502-609D-402B-AB00-373F8882A469}" srcOrd="1" destOrd="0" presId="urn:microsoft.com/office/officeart/2008/layout/NameandTitleOrganizationalChart"/>
    <dgm:cxn modelId="{58B820DD-FE42-4813-A6CA-6EE077EB2620}" type="presParOf" srcId="{58B1EF1A-61E6-46F2-901C-DBC53AE1ED34}" destId="{8DFA93BE-C63B-471F-916E-575D8388B464}" srcOrd="2" destOrd="0" presId="urn:microsoft.com/office/officeart/2008/layout/NameandTitleOrganizationalChart"/>
    <dgm:cxn modelId="{C5B1DC5A-C85B-4B11-AA00-CECB005DB5F1}" type="presParOf" srcId="{2993F230-7950-4654-8F39-5D76F4DDB5EF}" destId="{B5C93435-C5A3-4B1E-8FD6-56F46E2EBBEC}" srcOrd="4" destOrd="0" presId="urn:microsoft.com/office/officeart/2008/layout/NameandTitleOrganizationalChart"/>
    <dgm:cxn modelId="{430A8B24-93AC-45E9-A949-75C84B391772}" type="presParOf" srcId="{2993F230-7950-4654-8F39-5D76F4DDB5EF}" destId="{CA11AFE8-BB6C-4B02-BE05-8F0608308453}" srcOrd="5" destOrd="0" presId="urn:microsoft.com/office/officeart/2008/layout/NameandTitleOrganizationalChart"/>
    <dgm:cxn modelId="{60C84303-C9CF-4236-AC15-86B340618B32}" type="presParOf" srcId="{CA11AFE8-BB6C-4B02-BE05-8F0608308453}" destId="{6CE40278-0662-4EF6-9628-4AA9E3C0C25D}" srcOrd="0" destOrd="0" presId="urn:microsoft.com/office/officeart/2008/layout/NameandTitleOrganizationalChart"/>
    <dgm:cxn modelId="{91551A65-31BF-43E7-A26B-62E35071C6FE}" type="presParOf" srcId="{6CE40278-0662-4EF6-9628-4AA9E3C0C25D}" destId="{8F5122C2-8E93-4482-B00D-50071B87892D}" srcOrd="0" destOrd="0" presId="urn:microsoft.com/office/officeart/2008/layout/NameandTitleOrganizationalChart"/>
    <dgm:cxn modelId="{BF3B68A7-3A61-48B7-B700-CABD2DF0F78A}" type="presParOf" srcId="{6CE40278-0662-4EF6-9628-4AA9E3C0C25D}" destId="{8C2636A4-932C-49DA-9794-D0868C5502BA}" srcOrd="1" destOrd="0" presId="urn:microsoft.com/office/officeart/2008/layout/NameandTitleOrganizationalChart"/>
    <dgm:cxn modelId="{F287BA5A-CD8D-4EE5-BF32-52A1BF776408}" type="presParOf" srcId="{6CE40278-0662-4EF6-9628-4AA9E3C0C25D}" destId="{005AD63B-E42A-4828-BD74-A350D4CD77E5}" srcOrd="2" destOrd="0" presId="urn:microsoft.com/office/officeart/2008/layout/NameandTitleOrganizationalChart"/>
    <dgm:cxn modelId="{DA764C6B-6D75-41AB-A86A-6DEDA6A125C9}" type="presParOf" srcId="{CA11AFE8-BB6C-4B02-BE05-8F0608308453}" destId="{7F2C8DBE-D97D-461F-A06E-C20DDEBB2D69}" srcOrd="1" destOrd="0" presId="urn:microsoft.com/office/officeart/2008/layout/NameandTitleOrganizationalChart"/>
    <dgm:cxn modelId="{79B929B2-32AD-4167-BC68-3E6C392A7915}" type="presParOf" srcId="{CA11AFE8-BB6C-4B02-BE05-8F0608308453}" destId="{819F5AD8-E723-499C-AF2D-476003821AC4}" srcOrd="2" destOrd="0" presId="urn:microsoft.com/office/officeart/2008/layout/NameandTitleOrganizationalChart"/>
    <dgm:cxn modelId="{1D26F902-9EB3-465C-83A9-AD95F76CADCA}" type="presParOf" srcId="{2993F230-7950-4654-8F39-5D76F4DDB5EF}" destId="{B304A8CB-D8D3-42C8-BDDE-381D67CCF8B8}" srcOrd="6" destOrd="0" presId="urn:microsoft.com/office/officeart/2008/layout/NameandTitleOrganizationalChart"/>
    <dgm:cxn modelId="{F6E09CD0-00E5-4388-93CD-6F56E2E90ACE}" type="presParOf" srcId="{2993F230-7950-4654-8F39-5D76F4DDB5EF}" destId="{1A2F71FC-494F-4DA9-B424-1ABA93F80D31}" srcOrd="7" destOrd="0" presId="urn:microsoft.com/office/officeart/2008/layout/NameandTitleOrganizationalChart"/>
    <dgm:cxn modelId="{8728698F-3818-454B-A84D-DF0393EBDA77}" type="presParOf" srcId="{1A2F71FC-494F-4DA9-B424-1ABA93F80D31}" destId="{E28B38AB-7912-45DD-9D89-46FC5504714E}" srcOrd="0" destOrd="0" presId="urn:microsoft.com/office/officeart/2008/layout/NameandTitleOrganizationalChart"/>
    <dgm:cxn modelId="{C382C944-7986-4DCC-B35F-5FB04BA15566}" type="presParOf" srcId="{E28B38AB-7912-45DD-9D89-46FC5504714E}" destId="{8493CA3D-44DC-4AD2-A8AD-FE8987ADA6D9}" srcOrd="0" destOrd="0" presId="urn:microsoft.com/office/officeart/2008/layout/NameandTitleOrganizationalChart"/>
    <dgm:cxn modelId="{4CE25034-0848-435B-892E-60094B35D829}" type="presParOf" srcId="{E28B38AB-7912-45DD-9D89-46FC5504714E}" destId="{9FB07BE5-7ED6-41E1-B3FB-92A2BC83B305}" srcOrd="1" destOrd="0" presId="urn:microsoft.com/office/officeart/2008/layout/NameandTitleOrganizationalChart"/>
    <dgm:cxn modelId="{CDF0284D-FEF8-4963-BCE9-7D8283FBF578}" type="presParOf" srcId="{E28B38AB-7912-45DD-9D89-46FC5504714E}" destId="{DB9D4058-E674-40C5-A1BE-25B01AFACC27}" srcOrd="2" destOrd="0" presId="urn:microsoft.com/office/officeart/2008/layout/NameandTitleOrganizationalChart"/>
    <dgm:cxn modelId="{BCB7141D-A340-4476-BF03-BD436D78F648}" type="presParOf" srcId="{1A2F71FC-494F-4DA9-B424-1ABA93F80D31}" destId="{37A9C902-D8A3-4247-A66D-C86BD180A64C}" srcOrd="1" destOrd="0" presId="urn:microsoft.com/office/officeart/2008/layout/NameandTitleOrganizationalChart"/>
    <dgm:cxn modelId="{195C1DBA-EE8B-4675-85F5-0EB98273C07D}" type="presParOf" srcId="{1A2F71FC-494F-4DA9-B424-1ABA93F80D31}" destId="{79C9C319-9D4D-41DF-8F94-2364ACECD308}" srcOrd="2" destOrd="0" presId="urn:microsoft.com/office/officeart/2008/layout/NameandTitleOrganizationalChart"/>
    <dgm:cxn modelId="{61FCCB00-ED48-4C43-B988-8B066F0842B9}" type="presParOf" srcId="{DB832299-E505-49AE-B062-DFB5DC59C2D2}" destId="{DAB0542A-618A-4469-B6D7-526ED19B53C5}" srcOrd="2" destOrd="0" presId="urn:microsoft.com/office/officeart/2008/layout/NameandTitleOrganizationalChart"/>
    <dgm:cxn modelId="{AAB054A6-47E5-4C2B-B2C8-77C4A35F315B}" type="presParOf" srcId="{DAB0542A-618A-4469-B6D7-526ED19B53C5}" destId="{484B90C2-E54C-496E-823A-00A56732D627}" srcOrd="0" destOrd="0" presId="urn:microsoft.com/office/officeart/2008/layout/NameandTitleOrganizationalChart"/>
    <dgm:cxn modelId="{C7DDA4FB-B1B5-43C7-8667-DB8CC33D3A49}" type="presParOf" srcId="{DAB0542A-618A-4469-B6D7-526ED19B53C5}" destId="{30FCC12D-C428-4A1F-AA69-3FDCC39BC2E3}" srcOrd="1" destOrd="0" presId="urn:microsoft.com/office/officeart/2008/layout/NameandTitleOrganizationalChart"/>
    <dgm:cxn modelId="{C4AFF0BC-EBC0-4002-94EE-A506187AB1EC}" type="presParOf" srcId="{30FCC12D-C428-4A1F-AA69-3FDCC39BC2E3}" destId="{30919A90-8444-481F-8099-410E49FB8668}" srcOrd="0" destOrd="0" presId="urn:microsoft.com/office/officeart/2008/layout/NameandTitleOrganizationalChart"/>
    <dgm:cxn modelId="{404ADA8D-5587-4A5E-9742-4B66006C7118}" type="presParOf" srcId="{30919A90-8444-481F-8099-410E49FB8668}" destId="{D086765F-F107-4857-AD69-37E9F78A0343}" srcOrd="0" destOrd="0" presId="urn:microsoft.com/office/officeart/2008/layout/NameandTitleOrganizationalChart"/>
    <dgm:cxn modelId="{F48C7293-0E8C-4196-832D-153111DBED30}" type="presParOf" srcId="{30919A90-8444-481F-8099-410E49FB8668}" destId="{D2D1629B-6BC5-470E-B7AB-82ABFA883D19}" srcOrd="1" destOrd="0" presId="urn:microsoft.com/office/officeart/2008/layout/NameandTitleOrganizationalChart"/>
    <dgm:cxn modelId="{ADDDBB6D-2E33-403E-9FA1-2A3C0B9ED8C5}" type="presParOf" srcId="{30919A90-8444-481F-8099-410E49FB8668}" destId="{36A9129B-4984-49D9-93E2-8C032EB325DD}" srcOrd="2" destOrd="0" presId="urn:microsoft.com/office/officeart/2008/layout/NameandTitleOrganizationalChart"/>
    <dgm:cxn modelId="{27275A85-B77B-4107-924E-0CD17B34F515}" type="presParOf" srcId="{30FCC12D-C428-4A1F-AA69-3FDCC39BC2E3}" destId="{B4B4D436-2235-4574-BCC6-53D4CC39C016}" srcOrd="1" destOrd="0" presId="urn:microsoft.com/office/officeart/2008/layout/NameandTitleOrganizationalChart"/>
    <dgm:cxn modelId="{ABBEF6F5-4AD7-48EA-A742-990E098B6053}" type="presParOf" srcId="{30FCC12D-C428-4A1F-AA69-3FDCC39BC2E3}" destId="{80EA160D-9054-4558-B8B5-DAA1866414FD}" srcOrd="2" destOrd="0" presId="urn:microsoft.com/office/officeart/2008/layout/NameandTitleOrganizationalChart"/>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84B90C2-E54C-496E-823A-00A56732D627}">
      <dsp:nvSpPr>
        <dsp:cNvPr id="0" name=""/>
        <dsp:cNvSpPr/>
      </dsp:nvSpPr>
      <dsp:spPr>
        <a:xfrm>
          <a:off x="2595134" y="506253"/>
          <a:ext cx="91440" cy="545562"/>
        </a:xfrm>
        <a:custGeom>
          <a:avLst/>
          <a:gdLst/>
          <a:ahLst/>
          <a:cxnLst/>
          <a:rect l="0" t="0" r="0" b="0"/>
          <a:pathLst>
            <a:path>
              <a:moveTo>
                <a:pt x="111049" y="0"/>
              </a:moveTo>
              <a:lnTo>
                <a:pt x="111049" y="514835"/>
              </a:lnTo>
              <a:lnTo>
                <a:pt x="45720" y="51483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304A8CB-D8D3-42C8-BDDE-381D67CCF8B8}">
      <dsp:nvSpPr>
        <dsp:cNvPr id="0" name=""/>
        <dsp:cNvSpPr/>
      </dsp:nvSpPr>
      <dsp:spPr>
        <a:xfrm>
          <a:off x="2710082" y="506253"/>
          <a:ext cx="1967483" cy="1091125"/>
        </a:xfrm>
        <a:custGeom>
          <a:avLst/>
          <a:gdLst/>
          <a:ahLst/>
          <a:cxnLst/>
          <a:rect l="0" t="0" r="0" b="0"/>
          <a:pathLst>
            <a:path>
              <a:moveTo>
                <a:pt x="0" y="0"/>
              </a:moveTo>
              <a:lnTo>
                <a:pt x="0" y="918211"/>
              </a:lnTo>
              <a:lnTo>
                <a:pt x="1856671" y="918211"/>
              </a:lnTo>
              <a:lnTo>
                <a:pt x="1856671" y="1029671"/>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5C93435-C5A3-4B1E-8FD6-56F46E2EBBEC}">
      <dsp:nvSpPr>
        <dsp:cNvPr id="0" name=""/>
        <dsp:cNvSpPr/>
      </dsp:nvSpPr>
      <dsp:spPr>
        <a:xfrm>
          <a:off x="2710082" y="506253"/>
          <a:ext cx="655827" cy="1091125"/>
        </a:xfrm>
        <a:custGeom>
          <a:avLst/>
          <a:gdLst/>
          <a:ahLst/>
          <a:cxnLst/>
          <a:rect l="0" t="0" r="0" b="0"/>
          <a:pathLst>
            <a:path>
              <a:moveTo>
                <a:pt x="0" y="0"/>
              </a:moveTo>
              <a:lnTo>
                <a:pt x="0" y="918211"/>
              </a:lnTo>
              <a:lnTo>
                <a:pt x="618890" y="918211"/>
              </a:lnTo>
              <a:lnTo>
                <a:pt x="618890" y="1029671"/>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3F5CB72-C582-401D-B509-102F4BB4C810}">
      <dsp:nvSpPr>
        <dsp:cNvPr id="0" name=""/>
        <dsp:cNvSpPr/>
      </dsp:nvSpPr>
      <dsp:spPr>
        <a:xfrm>
          <a:off x="2054254" y="506253"/>
          <a:ext cx="655827" cy="1091125"/>
        </a:xfrm>
        <a:custGeom>
          <a:avLst/>
          <a:gdLst/>
          <a:ahLst/>
          <a:cxnLst/>
          <a:rect l="0" t="0" r="0" b="0"/>
          <a:pathLst>
            <a:path>
              <a:moveTo>
                <a:pt x="618890" y="0"/>
              </a:moveTo>
              <a:lnTo>
                <a:pt x="618890" y="918211"/>
              </a:lnTo>
              <a:lnTo>
                <a:pt x="0" y="918211"/>
              </a:lnTo>
              <a:lnTo>
                <a:pt x="0" y="1029671"/>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897156B-0BC7-4332-A98D-F8A12D4FA70A}">
      <dsp:nvSpPr>
        <dsp:cNvPr id="0" name=""/>
        <dsp:cNvSpPr/>
      </dsp:nvSpPr>
      <dsp:spPr>
        <a:xfrm>
          <a:off x="742599" y="506253"/>
          <a:ext cx="1967483" cy="1091125"/>
        </a:xfrm>
        <a:custGeom>
          <a:avLst/>
          <a:gdLst/>
          <a:ahLst/>
          <a:cxnLst/>
          <a:rect l="0" t="0" r="0" b="0"/>
          <a:pathLst>
            <a:path>
              <a:moveTo>
                <a:pt x="1856671" y="0"/>
              </a:moveTo>
              <a:lnTo>
                <a:pt x="1856671" y="918211"/>
              </a:lnTo>
              <a:lnTo>
                <a:pt x="0" y="918211"/>
              </a:lnTo>
              <a:lnTo>
                <a:pt x="0" y="1029671"/>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439730F-91D9-429E-A777-F33B93ABB347}">
      <dsp:nvSpPr>
        <dsp:cNvPr id="0" name=""/>
        <dsp:cNvSpPr/>
      </dsp:nvSpPr>
      <dsp:spPr>
        <a:xfrm>
          <a:off x="2221249" y="61"/>
          <a:ext cx="977665" cy="50619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71429" numCol="1" spcCol="1270" anchor="ctr" anchorCtr="0">
          <a:noAutofit/>
        </a:bodyPr>
        <a:lstStyle/>
        <a:p>
          <a:pPr marL="0" lvl="0" indent="0" algn="ctr" defTabSz="622300">
            <a:lnSpc>
              <a:spcPct val="90000"/>
            </a:lnSpc>
            <a:spcBef>
              <a:spcPct val="0"/>
            </a:spcBef>
            <a:spcAft>
              <a:spcPct val="35000"/>
            </a:spcAft>
            <a:buNone/>
          </a:pPr>
          <a:r>
            <a:rPr lang="pl-PL" sz="1400" kern="1200">
              <a:latin typeface="Calibri" panose="020F0502020204030204"/>
              <a:ea typeface="+mn-ea"/>
              <a:cs typeface="+mn-cs"/>
            </a:rPr>
            <a:t>Polska</a:t>
          </a:r>
          <a:endParaRPr lang="pl-PL" sz="1800" kern="1200">
            <a:latin typeface="Calibri" panose="020F0502020204030204"/>
            <a:ea typeface="+mn-ea"/>
            <a:cs typeface="+mn-cs"/>
          </a:endParaRPr>
        </a:p>
      </dsp:txBody>
      <dsp:txXfrm>
        <a:off x="2221249" y="61"/>
        <a:ext cx="977665" cy="506192"/>
      </dsp:txXfrm>
    </dsp:sp>
    <dsp:sp modelId="{61A7703B-5F9B-49E3-9FCA-66DF68C2E4FF}">
      <dsp:nvSpPr>
        <dsp:cNvPr id="0" name=""/>
        <dsp:cNvSpPr/>
      </dsp:nvSpPr>
      <dsp:spPr>
        <a:xfrm>
          <a:off x="2416782" y="393766"/>
          <a:ext cx="879899" cy="16873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3810" rIns="15240" bIns="3810" numCol="1" spcCol="1270" anchor="ctr" anchorCtr="0">
          <a:noAutofit/>
        </a:bodyPr>
        <a:lstStyle/>
        <a:p>
          <a:pPr marL="0" lvl="0" indent="0" algn="ctr" defTabSz="266700">
            <a:lnSpc>
              <a:spcPct val="90000"/>
            </a:lnSpc>
            <a:spcBef>
              <a:spcPct val="0"/>
            </a:spcBef>
            <a:spcAft>
              <a:spcPct val="35000"/>
            </a:spcAft>
            <a:buNone/>
          </a:pPr>
          <a:r>
            <a:rPr lang="pl-PL" sz="600" kern="1200">
              <a:latin typeface="Calibri" panose="020F0502020204030204"/>
              <a:ea typeface="+mn-ea"/>
              <a:cs typeface="+mn-cs"/>
            </a:rPr>
            <a:t>Model krajowy, interwencja krajowa</a:t>
          </a:r>
        </a:p>
      </dsp:txBody>
      <dsp:txXfrm>
        <a:off x="2416782" y="393766"/>
        <a:ext cx="879899" cy="168730"/>
      </dsp:txXfrm>
    </dsp:sp>
    <dsp:sp modelId="{65BC36A7-375D-421B-99AF-5819779F566E}">
      <dsp:nvSpPr>
        <dsp:cNvPr id="0" name=""/>
        <dsp:cNvSpPr/>
      </dsp:nvSpPr>
      <dsp:spPr>
        <a:xfrm>
          <a:off x="253766" y="1597378"/>
          <a:ext cx="977665" cy="506192"/>
        </a:xfrm>
        <a:prstGeom prst="rect">
          <a:avLst/>
        </a:prstGeom>
        <a:solidFill>
          <a:schemeClr val="accent1"/>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71429" numCol="1" spcCol="1270" anchor="ctr" anchorCtr="0">
          <a:noAutofit/>
        </a:bodyPr>
        <a:lstStyle/>
        <a:p>
          <a:pPr marL="0" lvl="0" indent="0" algn="ctr" defTabSz="622300">
            <a:lnSpc>
              <a:spcPct val="90000"/>
            </a:lnSpc>
            <a:spcBef>
              <a:spcPct val="0"/>
            </a:spcBef>
            <a:spcAft>
              <a:spcPct val="35000"/>
            </a:spcAft>
            <a:buNone/>
          </a:pPr>
          <a:r>
            <a:rPr lang="pl-PL" sz="1400" kern="1200">
              <a:latin typeface="Calibri" panose="020F0502020204030204"/>
              <a:ea typeface="+mn-ea"/>
              <a:cs typeface="+mn-cs"/>
            </a:rPr>
            <a:t>Region 1</a:t>
          </a:r>
        </a:p>
      </dsp:txBody>
      <dsp:txXfrm>
        <a:off x="253766" y="1597378"/>
        <a:ext cx="977665" cy="506192"/>
      </dsp:txXfrm>
    </dsp:sp>
    <dsp:sp modelId="{3C7EA688-DA67-423A-82C0-92FA65E2A365}">
      <dsp:nvSpPr>
        <dsp:cNvPr id="0" name=""/>
        <dsp:cNvSpPr/>
      </dsp:nvSpPr>
      <dsp:spPr>
        <a:xfrm>
          <a:off x="449299" y="1991083"/>
          <a:ext cx="879899" cy="16873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3810" rIns="15240" bIns="3810" numCol="1" spcCol="1270" anchor="ctr" anchorCtr="0">
          <a:noAutofit/>
        </a:bodyPr>
        <a:lstStyle/>
        <a:p>
          <a:pPr marL="0" lvl="0" indent="0" algn="ctr" defTabSz="266700">
            <a:lnSpc>
              <a:spcPct val="90000"/>
            </a:lnSpc>
            <a:spcBef>
              <a:spcPct val="0"/>
            </a:spcBef>
            <a:spcAft>
              <a:spcPct val="35000"/>
            </a:spcAft>
            <a:buNone/>
          </a:pPr>
          <a:r>
            <a:rPr lang="pl-PL" sz="600" kern="1200">
              <a:latin typeface="Calibri" panose="020F0502020204030204"/>
              <a:ea typeface="+mn-ea"/>
              <a:cs typeface="+mn-cs"/>
            </a:rPr>
            <a:t>Model regionalny, interwencja regionalna</a:t>
          </a:r>
        </a:p>
      </dsp:txBody>
      <dsp:txXfrm>
        <a:off x="449299" y="1991083"/>
        <a:ext cx="879899" cy="168730"/>
      </dsp:txXfrm>
    </dsp:sp>
    <dsp:sp modelId="{2C508CC8-5488-4630-9530-F435106281CC}">
      <dsp:nvSpPr>
        <dsp:cNvPr id="0" name=""/>
        <dsp:cNvSpPr/>
      </dsp:nvSpPr>
      <dsp:spPr>
        <a:xfrm>
          <a:off x="1565421" y="1597378"/>
          <a:ext cx="977665" cy="50619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71429" numCol="1" spcCol="1270" anchor="ctr" anchorCtr="0">
          <a:noAutofit/>
        </a:bodyPr>
        <a:lstStyle/>
        <a:p>
          <a:pPr marL="0" lvl="0" indent="0" algn="ctr" defTabSz="622300">
            <a:lnSpc>
              <a:spcPct val="90000"/>
            </a:lnSpc>
            <a:spcBef>
              <a:spcPct val="0"/>
            </a:spcBef>
            <a:spcAft>
              <a:spcPct val="35000"/>
            </a:spcAft>
            <a:buNone/>
          </a:pPr>
          <a:r>
            <a:rPr lang="pl-PL" sz="1400" kern="1200">
              <a:latin typeface="Calibri" panose="020F0502020204030204"/>
              <a:ea typeface="+mn-ea"/>
              <a:cs typeface="+mn-cs"/>
            </a:rPr>
            <a:t>Region 2</a:t>
          </a:r>
        </a:p>
      </dsp:txBody>
      <dsp:txXfrm>
        <a:off x="1565421" y="1597378"/>
        <a:ext cx="977665" cy="506192"/>
      </dsp:txXfrm>
    </dsp:sp>
    <dsp:sp modelId="{C364A6A0-DDD6-49BE-A4DC-7A0B8BACBA35}">
      <dsp:nvSpPr>
        <dsp:cNvPr id="0" name=""/>
        <dsp:cNvSpPr/>
      </dsp:nvSpPr>
      <dsp:spPr>
        <a:xfrm>
          <a:off x="1760955" y="1991083"/>
          <a:ext cx="879899" cy="16873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3810" rIns="15240" bIns="3810" numCol="1" spcCol="1270" anchor="ctr" anchorCtr="0">
          <a:noAutofit/>
        </a:bodyPr>
        <a:lstStyle/>
        <a:p>
          <a:pPr marL="0" lvl="0" indent="0" algn="ctr" defTabSz="266700">
            <a:lnSpc>
              <a:spcPct val="90000"/>
            </a:lnSpc>
            <a:spcBef>
              <a:spcPct val="0"/>
            </a:spcBef>
            <a:spcAft>
              <a:spcPct val="35000"/>
            </a:spcAft>
            <a:buNone/>
          </a:pPr>
          <a:r>
            <a:rPr lang="pl-PL" sz="600" kern="1200">
              <a:latin typeface="Calibri" panose="020F0502020204030204"/>
              <a:ea typeface="+mn-ea"/>
              <a:cs typeface="+mn-cs"/>
            </a:rPr>
            <a:t>Model regionalny, interwencja regionalna</a:t>
          </a:r>
        </a:p>
      </dsp:txBody>
      <dsp:txXfrm>
        <a:off x="1760955" y="1991083"/>
        <a:ext cx="879899" cy="168730"/>
      </dsp:txXfrm>
    </dsp:sp>
    <dsp:sp modelId="{8F5122C2-8E93-4482-B00D-50071B87892D}">
      <dsp:nvSpPr>
        <dsp:cNvPr id="0" name=""/>
        <dsp:cNvSpPr/>
      </dsp:nvSpPr>
      <dsp:spPr>
        <a:xfrm>
          <a:off x="2877077" y="1597378"/>
          <a:ext cx="977665" cy="50619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71429" numCol="1" spcCol="1270" anchor="ctr" anchorCtr="0">
          <a:noAutofit/>
        </a:bodyPr>
        <a:lstStyle/>
        <a:p>
          <a:pPr marL="0" lvl="0" indent="0" algn="ctr" defTabSz="800100">
            <a:lnSpc>
              <a:spcPct val="90000"/>
            </a:lnSpc>
            <a:spcBef>
              <a:spcPct val="0"/>
            </a:spcBef>
            <a:spcAft>
              <a:spcPct val="35000"/>
            </a:spcAft>
            <a:buNone/>
          </a:pPr>
          <a:r>
            <a:rPr lang="pl-PL" sz="1800" kern="1200">
              <a:latin typeface="Calibri" panose="020F0502020204030204"/>
              <a:ea typeface="+mn-ea"/>
              <a:cs typeface="+mn-cs"/>
            </a:rPr>
            <a:t>...</a:t>
          </a:r>
        </a:p>
      </dsp:txBody>
      <dsp:txXfrm>
        <a:off x="2877077" y="1597378"/>
        <a:ext cx="977665" cy="506192"/>
      </dsp:txXfrm>
    </dsp:sp>
    <dsp:sp modelId="{8C2636A4-932C-49DA-9794-D0868C5502BA}">
      <dsp:nvSpPr>
        <dsp:cNvPr id="0" name=""/>
        <dsp:cNvSpPr/>
      </dsp:nvSpPr>
      <dsp:spPr>
        <a:xfrm>
          <a:off x="3072610" y="1991083"/>
          <a:ext cx="879899" cy="16873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7940" tIns="6985" rIns="27940" bIns="6985" numCol="1" spcCol="1270" anchor="ctr" anchorCtr="0">
          <a:noAutofit/>
        </a:bodyPr>
        <a:lstStyle/>
        <a:p>
          <a:pPr marL="0" lvl="0" indent="0" algn="ctr" defTabSz="466725">
            <a:lnSpc>
              <a:spcPct val="90000"/>
            </a:lnSpc>
            <a:spcBef>
              <a:spcPct val="0"/>
            </a:spcBef>
            <a:spcAft>
              <a:spcPct val="35000"/>
            </a:spcAft>
            <a:buNone/>
          </a:pPr>
          <a:endParaRPr lang="pl-PL" sz="1050" kern="1200">
            <a:solidFill>
              <a:sysClr val="windowText" lastClr="000000">
                <a:hueOff val="0"/>
                <a:satOff val="0"/>
                <a:lumOff val="0"/>
                <a:alphaOff val="0"/>
              </a:sysClr>
            </a:solidFill>
            <a:latin typeface="Calibri" panose="020F0502020204030204"/>
            <a:ea typeface="+mn-ea"/>
            <a:cs typeface="+mn-cs"/>
          </a:endParaRPr>
        </a:p>
      </dsp:txBody>
      <dsp:txXfrm>
        <a:off x="3072610" y="1991083"/>
        <a:ext cx="879899" cy="168730"/>
      </dsp:txXfrm>
    </dsp:sp>
    <dsp:sp modelId="{8493CA3D-44DC-4AD2-A8AD-FE8987ADA6D9}">
      <dsp:nvSpPr>
        <dsp:cNvPr id="0" name=""/>
        <dsp:cNvSpPr/>
      </dsp:nvSpPr>
      <dsp:spPr>
        <a:xfrm>
          <a:off x="4188733" y="1597378"/>
          <a:ext cx="977665" cy="50619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71429" numCol="1" spcCol="1270" anchor="ctr" anchorCtr="0">
          <a:noAutofit/>
        </a:bodyPr>
        <a:lstStyle/>
        <a:p>
          <a:pPr marL="0" lvl="0" indent="0" algn="ctr" defTabSz="622300">
            <a:lnSpc>
              <a:spcPct val="90000"/>
            </a:lnSpc>
            <a:spcBef>
              <a:spcPct val="0"/>
            </a:spcBef>
            <a:spcAft>
              <a:spcPct val="35000"/>
            </a:spcAft>
            <a:buNone/>
          </a:pPr>
          <a:r>
            <a:rPr lang="pl-PL" sz="1400" kern="1200">
              <a:latin typeface="Calibri" panose="020F0502020204030204"/>
              <a:ea typeface="+mn-ea"/>
              <a:cs typeface="+mn-cs"/>
            </a:rPr>
            <a:t>Region 16</a:t>
          </a:r>
        </a:p>
      </dsp:txBody>
      <dsp:txXfrm>
        <a:off x="4188733" y="1597378"/>
        <a:ext cx="977665" cy="506192"/>
      </dsp:txXfrm>
    </dsp:sp>
    <dsp:sp modelId="{9FB07BE5-7ED6-41E1-B3FB-92A2BC83B305}">
      <dsp:nvSpPr>
        <dsp:cNvPr id="0" name=""/>
        <dsp:cNvSpPr/>
      </dsp:nvSpPr>
      <dsp:spPr>
        <a:xfrm>
          <a:off x="4384266" y="1991083"/>
          <a:ext cx="879899" cy="16873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3810" rIns="15240" bIns="3810" numCol="1" spcCol="1270" anchor="ctr" anchorCtr="0">
          <a:noAutofit/>
        </a:bodyPr>
        <a:lstStyle/>
        <a:p>
          <a:pPr marL="0" lvl="0" indent="0" algn="ctr" defTabSz="266700">
            <a:lnSpc>
              <a:spcPct val="90000"/>
            </a:lnSpc>
            <a:spcBef>
              <a:spcPct val="0"/>
            </a:spcBef>
            <a:spcAft>
              <a:spcPct val="35000"/>
            </a:spcAft>
            <a:buNone/>
          </a:pPr>
          <a:r>
            <a:rPr lang="pl-PL" sz="600" kern="1200">
              <a:latin typeface="Calibri" panose="020F0502020204030204"/>
              <a:ea typeface="+mn-ea"/>
              <a:cs typeface="+mn-cs"/>
            </a:rPr>
            <a:t>Model regionalny, interwencja regionalna</a:t>
          </a:r>
        </a:p>
      </dsp:txBody>
      <dsp:txXfrm>
        <a:off x="4384266" y="1991083"/>
        <a:ext cx="879899" cy="168730"/>
      </dsp:txXfrm>
    </dsp:sp>
    <dsp:sp modelId="{D086765F-F107-4857-AD69-37E9F78A0343}">
      <dsp:nvSpPr>
        <dsp:cNvPr id="0" name=""/>
        <dsp:cNvSpPr/>
      </dsp:nvSpPr>
      <dsp:spPr>
        <a:xfrm>
          <a:off x="640813" y="864403"/>
          <a:ext cx="2000040" cy="37482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71429" numCol="1" spcCol="1270" anchor="ctr" anchorCtr="0">
          <a:noAutofit/>
        </a:bodyPr>
        <a:lstStyle/>
        <a:p>
          <a:pPr marL="0" lvl="0" indent="0" algn="ctr" defTabSz="622300">
            <a:lnSpc>
              <a:spcPct val="90000"/>
            </a:lnSpc>
            <a:spcBef>
              <a:spcPct val="0"/>
            </a:spcBef>
            <a:spcAft>
              <a:spcPct val="35000"/>
            </a:spcAft>
            <a:buNone/>
          </a:pPr>
          <a:r>
            <a:rPr lang="pl-PL" sz="1400" kern="1200">
              <a:latin typeface="Calibri" panose="020F0502020204030204"/>
              <a:ea typeface="+mn-ea"/>
              <a:cs typeface="+mn-cs"/>
            </a:rPr>
            <a:t>Moduł</a:t>
          </a:r>
          <a:r>
            <a:rPr lang="pl-PL" sz="1800" kern="1200">
              <a:latin typeface="Calibri" panose="020F0502020204030204"/>
              <a:ea typeface="+mn-ea"/>
              <a:cs typeface="+mn-cs"/>
            </a:rPr>
            <a:t> </a:t>
          </a:r>
          <a:r>
            <a:rPr lang="pl-PL" sz="1400" kern="1200">
              <a:latin typeface="Calibri" panose="020F0502020204030204"/>
              <a:ea typeface="+mn-ea"/>
              <a:cs typeface="+mn-cs"/>
            </a:rPr>
            <a:t>agregacji</a:t>
          </a:r>
          <a:endParaRPr lang="pl-PL" sz="1800" kern="1200">
            <a:latin typeface="Calibri" panose="020F0502020204030204"/>
            <a:ea typeface="+mn-ea"/>
            <a:cs typeface="+mn-cs"/>
          </a:endParaRPr>
        </a:p>
      </dsp:txBody>
      <dsp:txXfrm>
        <a:off x="640813" y="864403"/>
        <a:ext cx="2000040" cy="374825"/>
      </dsp:txXfrm>
    </dsp:sp>
    <dsp:sp modelId="{D2D1629B-6BC5-470E-B7AB-82ABFA883D19}">
      <dsp:nvSpPr>
        <dsp:cNvPr id="0" name=""/>
        <dsp:cNvSpPr/>
      </dsp:nvSpPr>
      <dsp:spPr>
        <a:xfrm>
          <a:off x="1796247" y="1182341"/>
          <a:ext cx="879899" cy="16873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3810" rIns="15240" bIns="3810" numCol="1" spcCol="1270" anchor="ctr" anchorCtr="0">
          <a:noAutofit/>
        </a:bodyPr>
        <a:lstStyle/>
        <a:p>
          <a:pPr marL="0" lvl="0" indent="0" algn="ctr" defTabSz="266700">
            <a:lnSpc>
              <a:spcPct val="90000"/>
            </a:lnSpc>
            <a:spcBef>
              <a:spcPct val="0"/>
            </a:spcBef>
            <a:spcAft>
              <a:spcPct val="35000"/>
            </a:spcAft>
            <a:buNone/>
          </a:pPr>
          <a:r>
            <a:rPr lang="pl-PL" sz="600" kern="1200">
              <a:latin typeface="Calibri" panose="020F0502020204030204"/>
              <a:ea typeface="+mn-ea"/>
              <a:cs typeface="+mn-cs"/>
            </a:rPr>
            <a:t>Uwzględnienie wymiany między regionami</a:t>
          </a:r>
        </a:p>
      </dsp:txBody>
      <dsp:txXfrm>
        <a:off x="1796247" y="1182341"/>
        <a:ext cx="879899" cy="168730"/>
      </dsp:txXfrm>
    </dsp:sp>
  </dsp:spTree>
</dsp:drawing>
</file>

<file path=word/diagrams/layout1.xml><?xml version="1.0" encoding="utf-8"?>
<dgm:layoutDef xmlns:dgm="http://schemas.openxmlformats.org/drawingml/2006/diagram" xmlns:a="http://schemas.openxmlformats.org/drawingml/2006/main" uniqueId="urn:microsoft.com/office/officeart/2008/layout/NameandTitleOrganizationalChart">
  <dgm:title val=""/>
  <dgm:desc val=""/>
  <dgm:catLst>
    <dgm:cat type="hierarchy" pri="125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1" styleLbl="fgAcc0">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alg type="conn">
                            <dgm:param type="connRout" val="bend"/>
                            <dgm:param type="dim" val="1D"/>
                            <dgm:param type="endSty" val="noArr"/>
                            <dgm:param type="begPts" val="bCtr"/>
                            <dgm:param type="endPts" val="tCtr"/>
                            <dgm:param type="bendPt" val="end"/>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41" func="var" arg="hierBranch" op="equ" val="hang">
                    <dgm:layoutNode name="Name42">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3">
                    <dgm:layoutNode name="Name44">
                      <dgm:choose name="Name45">
                        <dgm:if name="Name46" axis="self" func="depth" op="lte" val="2">
                          <dgm:choose name="Name47">
                            <dgm:if name="Name48" axis="par ch" ptType="node asst" func="cnt" op="gte" val="1">
                              <dgm:alg type="conn">
                                <dgm:param type="connRout" val="bend"/>
                                <dgm:param type="dim" val="1D"/>
                                <dgm:param type="endSty" val="noArr"/>
                                <dgm:param type="begPts" val="bCtr"/>
                                <dgm:param type="endPts" val="midL midR"/>
                              </dgm:alg>
                            </dgm:if>
                            <dgm:else name="Name49">
                              <dgm:alg type="conn">
                                <dgm:param type="connRout" val="bend"/>
                                <dgm:param type="dim" val="1D"/>
                                <dgm:param type="endSty" val="noArr"/>
                                <dgm:param type="begPts" val="bCtr"/>
                                <dgm:param type="endPts" val="midL midR"/>
                                <dgm:param type="srcNode" val="rootConnector1"/>
                              </dgm:alg>
                            </dgm:else>
                          </dgm:choose>
                        </dgm:if>
                        <dgm:else name="Name50">
                          <dgm:choose name="Name51">
                            <dgm:if name="Name52" axis="par ch" ptType="node asst" func="cnt" op="gte" val="1">
                              <dgm:alg type="conn">
                                <dgm:param type="connRout" val="bend"/>
                                <dgm:param type="dim" val="1D"/>
                                <dgm:param type="endSty" val="noArr"/>
                                <dgm:param type="begPts" val="bCtr"/>
                                <dgm:param type="endPts" val="midL midR"/>
                              </dgm:alg>
                            </dgm:if>
                            <dgm:else name="Name53">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54">
                  <dgm:if name="Name55" func="var" arg="hierBranch" op="equ" val="l">
                    <dgm:choose name="Name56">
                      <dgm:if name="Name57"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58">
                        <dgm:alg type="hierRoot">
                          <dgm:param type="hierAlign" val="tR"/>
                        </dgm:alg>
                        <dgm:shape xmlns:r="http://schemas.openxmlformats.org/officeDocument/2006/relationships" r:blip="">
                          <dgm:adjLst/>
                        </dgm:shape>
                        <dgm:presOf/>
                        <dgm:constrLst>
                          <dgm:constr type="alignOff" val="0.25"/>
                        </dgm:constrLst>
                      </dgm:else>
                    </dgm:choose>
                  </dgm:if>
                  <dgm:if name="Name59" func="var" arg="hierBranch" op="equ" val="r">
                    <dgm:choose name="Name60">
                      <dgm:if name="Name61"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2">
                        <dgm:alg type="hierRoot">
                          <dgm:param type="hierAlign" val="tL"/>
                        </dgm:alg>
                        <dgm:shape xmlns:r="http://schemas.openxmlformats.org/officeDocument/2006/relationships" r:blip="">
                          <dgm:adjLst/>
                        </dgm:shape>
                        <dgm:presOf/>
                        <dgm:constrLst>
                          <dgm:constr type="alignOff" val="0.25"/>
                        </dgm:constrLst>
                      </dgm:else>
                    </dgm:choose>
                  </dgm:if>
                  <dgm:if name="Name63"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64"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65">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66">
                    <dgm:if name="Name67" func="var" arg="hierBranch" op="equ" val="init">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68" func="var" arg="hierBranch" op="equ" val="l">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69" func="var" arg="hierBranch" op="equ" val="r">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70">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2" styleLbl="fgAcc1">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71">
                    <dgm:if name="Name72" func="var" arg="hierBranch" op="equ" val="l">
                      <dgm:alg type="hierChild">
                        <dgm:param type="chAlign" val="r"/>
                        <dgm:param type="linDir" val="fromT"/>
                      </dgm:alg>
                    </dgm:if>
                    <dgm:if name="Name73" func="var" arg="hierBranch" op="equ" val="r">
                      <dgm:alg type="hierChild">
                        <dgm:param type="chAlign" val="l"/>
                        <dgm:param type="linDir" val="fromT"/>
                      </dgm:alg>
                    </dgm:if>
                    <dgm:if name="Name74" func="var" arg="hierBranch" op="equ" val="hang">
                      <dgm:choose name="Name75">
                        <dgm:if name="Name76" func="var" arg="dir" op="equ" val="norm">
                          <dgm:alg type="hierChild">
                            <dgm:param type="chAlign" val="l"/>
                            <dgm:param type="linDir" val="fromL"/>
                            <dgm:param type="secChAlign" val="t"/>
                            <dgm:param type="secLinDir" val="fromT"/>
                          </dgm:alg>
                        </dgm:if>
                        <dgm:else name="Name77">
                          <dgm:alg type="hierChild">
                            <dgm:param type="chAlign" val="l"/>
                            <dgm:param type="linDir" val="fromR"/>
                            <dgm:param type="secChAlign" val="t"/>
                            <dgm:param type="secLinDir" val="fromT"/>
                          </dgm:alg>
                        </dgm:else>
                      </dgm:choose>
                    </dgm:if>
                    <dgm:if name="Name78" func="var" arg="hierBranch" op="equ" val="std">
                      <dgm:choose name="Name79">
                        <dgm:if name="Name80" func="var" arg="dir" op="equ" val="norm">
                          <dgm:alg type="hierChild"/>
                        </dgm:if>
                        <dgm:else name="Name81">
                          <dgm:alg type="hierChild">
                            <dgm:param type="linDir" val="fromR"/>
                          </dgm:alg>
                        </dgm:else>
                      </dgm:choose>
                    </dgm:if>
                    <dgm:if name="Name82" func="var" arg="hierBranch" op="equ" val="init">
                      <dgm:choose name="Name83">
                        <dgm:if name="Name84" func="var" arg="dir" op="equ" val="norm">
                          <dgm:alg type="hierChild"/>
                        </dgm:if>
                        <dgm:else name="Name85">
                          <dgm:alg type="hierChild">
                            <dgm:param type="linDir" val="fromR"/>
                          </dgm:alg>
                        </dgm:else>
                      </dgm:choose>
                    </dgm:if>
                    <dgm:else name="Name86"/>
                  </dgm:choose>
                  <dgm:shape xmlns:r="http://schemas.openxmlformats.org/officeDocument/2006/relationships" r:blip="">
                    <dgm:adjLst/>
                  </dgm:shape>
                  <dgm:presOf/>
                  <dgm:constrLst/>
                  <dgm:ruleLst/>
                  <dgm:forEach name="Name87" ref="rep2a"/>
                </dgm:layoutNode>
                <dgm:layoutNode name="hierChild5">
                  <dgm:choose name="Name88">
                    <dgm:if name="Name89" func="var" arg="dir" op="equ" val="norm">
                      <dgm:alg type="hierChild">
                        <dgm:param type="chAlign" val="l"/>
                        <dgm:param type="linDir" val="fromL"/>
                        <dgm:param type="secChAlign" val="t"/>
                        <dgm:param type="secLinDir" val="fromT"/>
                      </dgm:alg>
                    </dgm:if>
                    <dgm:else name="Name90">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91" ref="rep2b"/>
                </dgm:layoutNode>
              </dgm:layoutNode>
            </dgm:forEach>
          </dgm:layoutNode>
          <dgm:layoutNode name="hierChild3">
            <dgm:choose name="Name92">
              <dgm:if name="Name93" func="var" arg="dir" op="equ" val="norm">
                <dgm:alg type="hierChild">
                  <dgm:param type="chAlign" val="l"/>
                  <dgm:param type="linDir" val="fromL"/>
                  <dgm:param type="secChAlign" val="t"/>
                  <dgm:param type="secLinDir" val="fromT"/>
                </dgm:alg>
              </dgm:if>
              <dgm:else name="Name94">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95" axis="precedSib" ptType="parTrans" st="-1" cnt="1">
                <dgm:layoutNode name="Name96">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97">
                  <dgm:if name="Name98" func="var" arg="hierBranch" op="equ" val="l">
                    <dgm:alg type="hierRoot">
                      <dgm:param type="hierAlign" val="tR"/>
                    </dgm:alg>
                    <dgm:shape xmlns:r="http://schemas.openxmlformats.org/officeDocument/2006/relationships" r:blip="">
                      <dgm:adjLst/>
                    </dgm:shape>
                    <dgm:presOf/>
                    <dgm:constrLst>
                      <dgm:constr type="alignOff" val="0.65"/>
                    </dgm:constrLst>
                  </dgm:if>
                  <dgm:if name="Name99" func="var" arg="hierBranch" op="equ" val="r">
                    <dgm:alg type="hierRoot">
                      <dgm:param type="hierAlign" val="tL"/>
                    </dgm:alg>
                    <dgm:shape xmlns:r="http://schemas.openxmlformats.org/officeDocument/2006/relationships" r:blip="">
                      <dgm:adjLst/>
                    </dgm:shape>
                    <dgm:presOf/>
                    <dgm:constrLst>
                      <dgm:constr type="alignOff" val="0.65"/>
                    </dgm:constrLst>
                  </dgm:if>
                  <dgm:if name="Name100" func="var" arg="hierBranch" op="equ" val="hang">
                    <dgm:alg type="hierRoot"/>
                    <dgm:shape xmlns:r="http://schemas.openxmlformats.org/officeDocument/2006/relationships" r:blip="">
                      <dgm:adjLst/>
                    </dgm:shape>
                    <dgm:presOf/>
                    <dgm:constrLst>
                      <dgm:constr type="alignOff" val="0.65"/>
                    </dgm:constrLst>
                  </dgm:if>
                  <dgm:if name="Name101"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02"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103"/>
                </dgm:choose>
                <dgm:ruleLst/>
                <dgm:layoutNode name="rootComposite3">
                  <dgm:alg type="composite"/>
                  <dgm:shape xmlns:r="http://schemas.openxmlformats.org/officeDocument/2006/relationships" r:blip="">
                    <dgm:adjLst/>
                  </dgm:shape>
                  <dgm:presOf axis="self" ptType="node" cnt="1"/>
                  <dgm:choose name="Name104">
                    <dgm:if name="Name105" func="var" arg="hierBranch" op="equ" val="init">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06" func="var" arg="hierBranch" op="equ" val="l">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07" func="var" arg="hierBranch" op="equ" val="r">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08">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styleLbl="asst1">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3" styleLbl="fgAcc2">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09">
                    <dgm:if name="Name110" func="var" arg="hierBranch" op="equ" val="l">
                      <dgm:alg type="hierChild">
                        <dgm:param type="chAlign" val="r"/>
                        <dgm:param type="linDir" val="fromT"/>
                      </dgm:alg>
                    </dgm:if>
                    <dgm:if name="Name111" func="var" arg="hierBranch" op="equ" val="r">
                      <dgm:alg type="hierChild">
                        <dgm:param type="chAlign" val="l"/>
                        <dgm:param type="linDir" val="fromT"/>
                      </dgm:alg>
                    </dgm:if>
                    <dgm:if name="Name112" func="var" arg="hierBranch" op="equ" val="hang">
                      <dgm:choose name="Name113">
                        <dgm:if name="Name114" func="var" arg="dir" op="equ" val="norm">
                          <dgm:alg type="hierChild">
                            <dgm:param type="chAlign" val="l"/>
                            <dgm:param type="linDir" val="fromL"/>
                            <dgm:param type="secChAlign" val="t"/>
                            <dgm:param type="secLinDir" val="fromT"/>
                          </dgm:alg>
                        </dgm:if>
                        <dgm:else name="Name115">
                          <dgm:alg type="hierChild">
                            <dgm:param type="chAlign" val="l"/>
                            <dgm:param type="linDir" val="fromR"/>
                            <dgm:param type="secChAlign" val="t"/>
                            <dgm:param type="secLinDir" val="fromT"/>
                          </dgm:alg>
                        </dgm:else>
                      </dgm:choose>
                    </dgm:if>
                    <dgm:if name="Name116" func="var" arg="hierBranch" op="equ" val="std">
                      <dgm:choose name="Name117">
                        <dgm:if name="Name118" func="var" arg="dir" op="equ" val="norm">
                          <dgm:alg type="hierChild"/>
                        </dgm:if>
                        <dgm:else name="Name119">
                          <dgm:alg type="hierChild">
                            <dgm:param type="linDir" val="fromR"/>
                          </dgm:alg>
                        </dgm:else>
                      </dgm:choose>
                    </dgm:if>
                    <dgm:if name="Name120" func="var" arg="hierBranch" op="equ" val="init">
                      <dgm:alg type="hierChild"/>
                    </dgm:if>
                    <dgm:else name="Name121"/>
                  </dgm:choose>
                  <dgm:shape xmlns:r="http://schemas.openxmlformats.org/officeDocument/2006/relationships" r:blip="">
                    <dgm:adjLst/>
                  </dgm:shape>
                  <dgm:presOf/>
                  <dgm:constrLst/>
                  <dgm:ruleLst/>
                  <dgm:forEach name="Name122" ref="rep2a"/>
                </dgm:layoutNode>
                <dgm:layoutNode name="hierChild7">
                  <dgm:choose name="Name123">
                    <dgm:if name="Name124" func="var" arg="dir" op="equ" val="norm">
                      <dgm:alg type="hierChild">
                        <dgm:param type="chAlign" val="l"/>
                        <dgm:param type="linDir" val="fromL"/>
                        <dgm:param type="secChAlign" val="t"/>
                        <dgm:param type="secLinDir" val="fromT"/>
                      </dgm:alg>
                    </dgm:if>
                    <dgm:else name="Name12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26"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Motyw_we_word">
  <a:themeElements>
    <a:clrScheme name="WiseEuropa_2">
      <a:dk1>
        <a:sysClr val="windowText" lastClr="000000"/>
      </a:dk1>
      <a:lt1>
        <a:sysClr val="window" lastClr="FFFFFF"/>
      </a:lt1>
      <a:dk2>
        <a:srgbClr val="7B7E82"/>
      </a:dk2>
      <a:lt2>
        <a:srgbClr val="D8D8D8"/>
      </a:lt2>
      <a:accent1>
        <a:srgbClr val="002457"/>
      </a:accent1>
      <a:accent2>
        <a:srgbClr val="F8981D"/>
      </a:accent2>
      <a:accent3>
        <a:srgbClr val="00B288"/>
      </a:accent3>
      <a:accent4>
        <a:srgbClr val="993300"/>
      </a:accent4>
      <a:accent5>
        <a:srgbClr val="00AED8"/>
      </a:accent5>
      <a:accent6>
        <a:srgbClr val="535353"/>
      </a:accent6>
      <a:hlink>
        <a:srgbClr val="002457"/>
      </a:hlink>
      <a:folHlink>
        <a:srgbClr val="F8981D"/>
      </a:folHlink>
    </a:clrScheme>
    <a:fontScheme name="Pakiet Office">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E97DC3-60EC-49F2-B474-0A70F39DB938}">
  <ds:schemaRefs>
    <ds:schemaRef ds:uri="http://schemas.openxmlformats.org/officeDocument/2006/bibliography"/>
  </ds:schemaRefs>
</ds:datastoreItem>
</file>

<file path=customXml/itemProps2.xml><?xml version="1.0" encoding="utf-8"?>
<ds:datastoreItem xmlns:ds="http://schemas.openxmlformats.org/officeDocument/2006/customXml" ds:itemID="{37F7F0D0-5B15-49CA-AC0A-08EFA4D43C1E}">
  <ds:schemaRefs>
    <ds:schemaRef ds:uri="http://schemas.openxmlformats.org/officeDocument/2006/bibliography"/>
  </ds:schemaRefs>
</ds:datastoreItem>
</file>

<file path=customXml/itemProps3.xml><?xml version="1.0" encoding="utf-8"?>
<ds:datastoreItem xmlns:ds="http://schemas.openxmlformats.org/officeDocument/2006/customXml" ds:itemID="{C0CD8BCE-FA4B-4933-AE20-2B79CF453398}">
  <ds:schemaRefs>
    <ds:schemaRef ds:uri="http://schemas.openxmlformats.org/officeDocument/2006/bibliography"/>
  </ds:schemaRefs>
</ds:datastoreItem>
</file>

<file path=customXml/itemProps4.xml><?xml version="1.0" encoding="utf-8"?>
<ds:datastoreItem xmlns:ds="http://schemas.openxmlformats.org/officeDocument/2006/customXml" ds:itemID="{E18EA250-FAC2-4E6D-B8C7-064C66A272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46</Pages>
  <Words>14468</Words>
  <Characters>86812</Characters>
  <Application>Microsoft Office Word</Application>
  <DocSecurity>0</DocSecurity>
  <Lines>723</Lines>
  <Paragraphs>202</Paragraphs>
  <ScaleCrop>false</ScaleCrop>
  <HeadingPairs>
    <vt:vector size="2" baseType="variant">
      <vt:variant>
        <vt:lpstr>Tytuł</vt:lpstr>
      </vt:variant>
      <vt:variant>
        <vt:i4>1</vt:i4>
      </vt:variant>
    </vt:vector>
  </HeadingPairs>
  <TitlesOfParts>
    <vt:vector size="1" baseType="lpstr">
      <vt:lpstr>Ocena wpływu realizacji polityki spójności i innych instrumentów na kształtowanie się wybranych wskaźników makroekonomicznych na poziomie krajowym i regionalnym za pomocą modelu VESPA</vt:lpstr>
    </vt:vector>
  </TitlesOfParts>
  <Company>Microsoft</Company>
  <LinksUpToDate>false</LinksUpToDate>
  <CharactersWithSpaces>101078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Ocena wpływu realizacji polityki spójności i innych instrumentów na kształtowanie się wybranych wskaźników makroekonomicznych na poziomie krajowym i regionalnym za pomocą modelu VESPA</dc:title>
  <dc:subject>raport końcowy</dc:subject>
  <dc:creator>warszawa EUROPA</dc:creator>
  <cp:keywords/>
  <dc:description/>
  <cp:lastModifiedBy>Piotrowska Monika</cp:lastModifiedBy>
  <cp:revision>2</cp:revision>
  <cp:lastPrinted>2024-09-09T06:11:00Z</cp:lastPrinted>
  <dcterms:created xsi:type="dcterms:W3CDTF">2025-04-10T11:30:00Z</dcterms:created>
  <dcterms:modified xsi:type="dcterms:W3CDTF">2025-04-10T11:30:00Z</dcterms:modified>
</cp:coreProperties>
</file>